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A34AD" w:rsidRPr="009A34AD" w:rsidTr="009168DA">
        <w:trPr>
          <w:jc w:val="center"/>
        </w:trPr>
        <w:tc>
          <w:tcPr>
            <w:tcW w:w="743" w:type="dxa"/>
          </w:tcPr>
          <w:p w:rsidR="009A34AD" w:rsidRPr="009A34AD" w:rsidRDefault="009A34AD" w:rsidP="009A34AD">
            <w:pPr>
              <w:jc w:val="both"/>
              <w:rPr>
                <w:rFonts w:ascii="Arial" w:hAnsi="Arial" w:cs="David"/>
                <w:b/>
                <w:bCs/>
                <w:noProof/>
                <w:sz w:val="24"/>
                <w:szCs w:val="24"/>
              </w:rPr>
            </w:pPr>
            <w:bookmarkStart w:id="0" w:name="_GoBack"/>
            <w:bookmarkEnd w:id="0"/>
            <w:r w:rsidRPr="009A34AD">
              <w:rPr>
                <w:rFonts w:ascii="Arial" w:hAnsi="Arial" w:cs="David" w:hint="cs"/>
                <w:b/>
                <w:bCs/>
                <w:noProof/>
                <w:sz w:val="24"/>
                <w:szCs w:val="24"/>
                <w:rtl/>
              </w:rPr>
              <w:t>ב</w:t>
            </w:r>
            <w:r w:rsidRPr="009A34AD">
              <w:rPr>
                <w:rFonts w:ascii="Arial" w:hAnsi="Arial" w:cs="David"/>
                <w:b/>
                <w:bCs/>
                <w:noProof/>
                <w:sz w:val="24"/>
                <w:szCs w:val="24"/>
                <w:rtl/>
              </w:rPr>
              <w:t xml:space="preserve">פני </w:t>
            </w:r>
          </w:p>
        </w:tc>
        <w:tc>
          <w:tcPr>
            <w:tcW w:w="8077" w:type="dxa"/>
            <w:gridSpan w:val="2"/>
          </w:tcPr>
          <w:p w:rsidR="009A34AD" w:rsidRPr="009A34AD" w:rsidRDefault="009A34AD" w:rsidP="009A34AD">
            <w:pPr>
              <w:rPr>
                <w:rFonts w:ascii="Arial" w:hAnsi="Arial" w:cs="David"/>
                <w:b/>
                <w:bCs/>
                <w:noProof/>
                <w:sz w:val="24"/>
                <w:szCs w:val="24"/>
                <w:rtl/>
              </w:rPr>
            </w:pPr>
            <w:r w:rsidRPr="009A34AD">
              <w:rPr>
                <w:rFonts w:ascii="Arial" w:hAnsi="Arial" w:cs="David" w:hint="cs"/>
                <w:b/>
                <w:bCs/>
                <w:noProof/>
                <w:sz w:val="24"/>
                <w:szCs w:val="24"/>
                <w:rtl/>
              </w:rPr>
              <w:t>כב' ה</w:t>
            </w:r>
            <w:sdt>
              <w:sdtPr>
                <w:rPr>
                  <w:rFonts w:cs="David"/>
                  <w:noProof/>
                  <w:sz w:val="24"/>
                  <w:szCs w:val="24"/>
                  <w:rtl/>
                </w:rPr>
                <w:alias w:val="1574"/>
                <w:tag w:val="1574"/>
                <w:id w:val="490682261"/>
                <w:text w:multiLine="1"/>
              </w:sdtPr>
              <w:sdtEndPr/>
              <w:sdtContent>
                <w:r w:rsidRPr="009A34AD">
                  <w:rPr>
                    <w:rFonts w:cs="David"/>
                    <w:noProof/>
                    <w:sz w:val="24"/>
                    <w:szCs w:val="24"/>
                    <w:rtl/>
                  </w:rPr>
                  <w:t>שופטת</w:t>
                </w:r>
              </w:sdtContent>
            </w:sdt>
            <w:r w:rsidRPr="009A34AD">
              <w:rPr>
                <w:rFonts w:ascii="Arial" w:hAnsi="Arial" w:cs="David" w:hint="cs"/>
                <w:b/>
                <w:bCs/>
                <w:noProof/>
                <w:sz w:val="24"/>
                <w:szCs w:val="24"/>
                <w:rtl/>
              </w:rPr>
              <w:t xml:space="preserve">  </w:t>
            </w:r>
            <w:sdt>
              <w:sdtPr>
                <w:rPr>
                  <w:rFonts w:cs="David"/>
                  <w:noProof/>
                  <w:sz w:val="24"/>
                  <w:szCs w:val="24"/>
                  <w:rtl/>
                </w:rPr>
                <w:alias w:val="1573"/>
                <w:tag w:val="1573"/>
                <w:id w:val="-1842311034"/>
                <w:text w:multiLine="1"/>
              </w:sdtPr>
              <w:sdtEndPr/>
              <w:sdtContent>
                <w:r w:rsidRPr="009A34AD">
                  <w:rPr>
                    <w:rFonts w:cs="David"/>
                    <w:noProof/>
                    <w:sz w:val="24"/>
                    <w:szCs w:val="24"/>
                    <w:rtl/>
                  </w:rPr>
                  <w:t>לורן אקוקה</w:t>
                </w:r>
              </w:sdtContent>
            </w:sdt>
          </w:p>
          <w:p w:rsidR="009A34AD" w:rsidRPr="009A34AD" w:rsidRDefault="009A34AD" w:rsidP="009A34AD">
            <w:pPr>
              <w:rPr>
                <w:rFonts w:ascii="Arial" w:hAnsi="Arial" w:cs="FrankRuehl"/>
                <w:noProof/>
                <w:sz w:val="28"/>
                <w:szCs w:val="28"/>
                <w:highlight w:val="yellow"/>
              </w:rPr>
            </w:pPr>
          </w:p>
        </w:tc>
      </w:tr>
      <w:tr w:rsidR="009A34AD" w:rsidRPr="009A34AD" w:rsidTr="009168DA">
        <w:trPr>
          <w:jc w:val="center"/>
        </w:trPr>
        <w:sdt>
          <w:sdtPr>
            <w:rPr>
              <w:rFonts w:ascii="Arial" w:hAnsi="Arial" w:cs="David"/>
              <w:b/>
              <w:bCs/>
              <w:sz w:val="24"/>
              <w:szCs w:val="24"/>
            </w:rPr>
            <w:alias w:val="1180"/>
            <w:tag w:val="1180"/>
            <w:id w:val="108787784"/>
            <w:placeholder>
              <w:docPart w:val="76B0DC67191F4990A8A7EE0AA858A4F6"/>
            </w:placeholder>
            <w:text w:multiLine="1"/>
          </w:sdtPr>
          <w:sdtEndPr/>
          <w:sdtContent>
            <w:tc>
              <w:tcPr>
                <w:tcW w:w="3249" w:type="dxa"/>
                <w:gridSpan w:val="2"/>
              </w:tcPr>
              <w:p w:rsidR="009A34AD" w:rsidRPr="009A34AD" w:rsidRDefault="009A34AD" w:rsidP="009A34AD">
                <w:pPr>
                  <w:bidi w:val="0"/>
                  <w:jc w:val="right"/>
                  <w:rPr>
                    <w:rFonts w:ascii="Arial" w:hAnsi="Arial" w:cs="David"/>
                    <w:b/>
                    <w:bCs/>
                    <w:sz w:val="24"/>
                    <w:szCs w:val="24"/>
                    <w:rtl/>
                  </w:rPr>
                </w:pPr>
                <w:r w:rsidRPr="009A34AD">
                  <w:rPr>
                    <w:rFonts w:ascii="Arial" w:hAnsi="Arial" w:cs="David" w:hint="cs"/>
                    <w:b/>
                    <w:bCs/>
                    <w:sz w:val="24"/>
                    <w:szCs w:val="24"/>
                    <w:rtl/>
                  </w:rPr>
                  <w:t>תובעת</w:t>
                </w:r>
              </w:p>
            </w:tc>
          </w:sdtContent>
        </w:sdt>
        <w:tc>
          <w:tcPr>
            <w:tcW w:w="5571" w:type="dxa"/>
          </w:tcPr>
          <w:p w:rsidR="009A34AD" w:rsidRPr="009A34AD" w:rsidRDefault="009A34AD" w:rsidP="009A34AD">
            <w:pPr>
              <w:rPr>
                <w:rFonts w:cs="David"/>
                <w:b/>
                <w:bCs/>
                <w:sz w:val="24"/>
                <w:szCs w:val="24"/>
                <w:rtl/>
              </w:rPr>
            </w:pPr>
            <w:r>
              <w:rPr>
                <w:rFonts w:cs="David" w:hint="cs"/>
                <w:b/>
                <w:bCs/>
                <w:sz w:val="24"/>
                <w:szCs w:val="24"/>
                <w:rtl/>
              </w:rPr>
              <w:t>י.</w:t>
            </w:r>
          </w:p>
          <w:p w:rsidR="009A34AD" w:rsidRPr="009A34AD" w:rsidRDefault="009A34AD" w:rsidP="009A34AD">
            <w:pPr>
              <w:rPr>
                <w:rFonts w:cs="David"/>
                <w:b/>
                <w:bCs/>
                <w:sz w:val="24"/>
                <w:szCs w:val="24"/>
              </w:rPr>
            </w:pPr>
          </w:p>
        </w:tc>
      </w:tr>
      <w:tr w:rsidR="009A34AD" w:rsidRPr="009A34AD" w:rsidTr="009168DA">
        <w:trPr>
          <w:jc w:val="center"/>
        </w:trPr>
        <w:tc>
          <w:tcPr>
            <w:tcW w:w="8820" w:type="dxa"/>
            <w:gridSpan w:val="3"/>
          </w:tcPr>
          <w:p w:rsidR="009A34AD" w:rsidRPr="009A34AD" w:rsidRDefault="009A34AD" w:rsidP="009A34AD">
            <w:pPr>
              <w:rPr>
                <w:rFonts w:ascii="Arial" w:hAnsi="Arial" w:cs="David"/>
                <w:b/>
                <w:bCs/>
                <w:sz w:val="24"/>
                <w:szCs w:val="24"/>
                <w:rtl/>
              </w:rPr>
            </w:pPr>
          </w:p>
          <w:p w:rsidR="009A34AD" w:rsidRPr="009A34AD" w:rsidRDefault="009A34AD" w:rsidP="009A34AD">
            <w:pPr>
              <w:jc w:val="center"/>
              <w:rPr>
                <w:rFonts w:ascii="Arial" w:hAnsi="Arial" w:cs="David"/>
                <w:b/>
                <w:bCs/>
                <w:sz w:val="24"/>
                <w:szCs w:val="24"/>
                <w:rtl/>
              </w:rPr>
            </w:pPr>
            <w:r w:rsidRPr="009A34AD">
              <w:rPr>
                <w:rFonts w:ascii="Arial" w:hAnsi="Arial" w:cs="David"/>
                <w:b/>
                <w:bCs/>
                <w:sz w:val="24"/>
                <w:szCs w:val="24"/>
                <w:rtl/>
              </w:rPr>
              <w:t>נגד</w:t>
            </w:r>
          </w:p>
          <w:p w:rsidR="009A34AD" w:rsidRPr="009A34AD" w:rsidRDefault="009A34AD" w:rsidP="009A34AD">
            <w:pPr>
              <w:rPr>
                <w:rFonts w:ascii="Arial" w:hAnsi="Arial" w:cs="David"/>
                <w:b/>
                <w:bCs/>
                <w:sz w:val="24"/>
                <w:szCs w:val="24"/>
              </w:rPr>
            </w:pPr>
          </w:p>
        </w:tc>
      </w:tr>
      <w:tr w:rsidR="009A34AD" w:rsidRPr="009A34AD" w:rsidTr="009168DA">
        <w:trPr>
          <w:jc w:val="center"/>
        </w:trPr>
        <w:tc>
          <w:tcPr>
            <w:tcW w:w="3249" w:type="dxa"/>
            <w:gridSpan w:val="2"/>
          </w:tcPr>
          <w:p w:rsidR="009A34AD" w:rsidRPr="009A34AD" w:rsidRDefault="000672E8" w:rsidP="009A34AD">
            <w:pPr>
              <w:rPr>
                <w:rFonts w:ascii="Arial" w:hAnsi="Arial" w:cs="David"/>
                <w:b/>
                <w:bCs/>
                <w:sz w:val="24"/>
                <w:szCs w:val="24"/>
              </w:rPr>
            </w:pPr>
            <w:sdt>
              <w:sdtPr>
                <w:rPr>
                  <w:rFonts w:cs="David"/>
                  <w:noProof/>
                  <w:sz w:val="24"/>
                  <w:szCs w:val="24"/>
                  <w:rtl/>
                </w:rPr>
                <w:alias w:val="1184"/>
                <w:tag w:val="1184"/>
                <w:id w:val="1218863978"/>
                <w:text w:multiLine="1"/>
              </w:sdtPr>
              <w:sdtEndPr/>
              <w:sdtContent>
                <w:r w:rsidR="009A34AD" w:rsidRPr="009A34AD">
                  <w:rPr>
                    <w:rFonts w:cs="David"/>
                    <w:noProof/>
                    <w:sz w:val="24"/>
                    <w:szCs w:val="24"/>
                    <w:rtl/>
                  </w:rPr>
                  <w:t>נתבע</w:t>
                </w:r>
              </w:sdtContent>
            </w:sdt>
          </w:p>
        </w:tc>
        <w:tc>
          <w:tcPr>
            <w:tcW w:w="5571" w:type="dxa"/>
          </w:tcPr>
          <w:p w:rsidR="009A34AD" w:rsidRPr="009A34AD" w:rsidRDefault="009A34AD" w:rsidP="009A34AD">
            <w:pPr>
              <w:rPr>
                <w:rFonts w:cs="David"/>
                <w:b/>
                <w:bCs/>
                <w:sz w:val="24"/>
                <w:szCs w:val="24"/>
                <w:rtl/>
              </w:rPr>
            </w:pPr>
            <w:r>
              <w:rPr>
                <w:rFonts w:cs="David" w:hint="cs"/>
                <w:b/>
                <w:bCs/>
                <w:sz w:val="24"/>
                <w:szCs w:val="24"/>
                <w:rtl/>
              </w:rPr>
              <w:t>י.</w:t>
            </w:r>
            <w:sdt>
              <w:sdtPr>
                <w:rPr>
                  <w:rFonts w:cs="David"/>
                  <w:b/>
                  <w:bCs/>
                  <w:sz w:val="24"/>
                  <w:szCs w:val="24"/>
                  <w:rtl/>
                </w:rPr>
                <w:alias w:val="2318"/>
                <w:tag w:val="2318"/>
                <w:id w:val="-946693399"/>
                <w:text w:multiLine="1"/>
              </w:sdtPr>
              <w:sdtEndPr/>
              <w:sdtContent/>
            </w:sdt>
          </w:p>
          <w:p w:rsidR="009A34AD" w:rsidRPr="009A34AD" w:rsidRDefault="009A34AD" w:rsidP="009A34AD">
            <w:pPr>
              <w:rPr>
                <w:rFonts w:cs="David"/>
                <w:b/>
                <w:bCs/>
                <w:sz w:val="24"/>
                <w:szCs w:val="24"/>
                <w:rtl/>
              </w:rPr>
            </w:pPr>
          </w:p>
        </w:tc>
      </w:tr>
    </w:tbl>
    <w:p w:rsidR="009A34AD" w:rsidRPr="009A34AD" w:rsidRDefault="009A34AD" w:rsidP="009A34AD">
      <w:pPr>
        <w:spacing w:after="0" w:line="240" w:lineRule="auto"/>
        <w:rPr>
          <w:rFonts w:ascii="Times New Roman" w:eastAsia="Times New Roman" w:hAnsi="Times New Roman" w:cs="David"/>
          <w:noProof/>
          <w:sz w:val="24"/>
          <w:szCs w:val="24"/>
        </w:rPr>
      </w:pPr>
    </w:p>
    <w:p w:rsidR="009A34AD" w:rsidRPr="009A34AD" w:rsidRDefault="009A34AD" w:rsidP="009A34AD">
      <w:pPr>
        <w:spacing w:after="0" w:line="240" w:lineRule="auto"/>
        <w:rPr>
          <w:rFonts w:ascii="Times New Roman" w:eastAsia="Times New Roman" w:hAnsi="Times New Roman" w:cs="David"/>
          <w:noProof/>
          <w:sz w:val="24"/>
          <w:szCs w:val="24"/>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A34AD" w:rsidRPr="009A34AD" w:rsidTr="009168DA">
        <w:trPr>
          <w:jc w:val="center"/>
        </w:trPr>
        <w:tc>
          <w:tcPr>
            <w:tcW w:w="8820" w:type="dxa"/>
          </w:tcPr>
          <w:p w:rsidR="009A34AD" w:rsidRPr="009A34AD" w:rsidRDefault="009A34AD" w:rsidP="009A34AD">
            <w:pPr>
              <w:bidi w:val="0"/>
              <w:jc w:val="center"/>
              <w:rPr>
                <w:rFonts w:ascii="Arial" w:hAnsi="Arial" w:cs="David"/>
                <w:b/>
                <w:bCs/>
                <w:sz w:val="26"/>
                <w:szCs w:val="26"/>
                <w:u w:val="single"/>
              </w:rPr>
            </w:pPr>
          </w:p>
          <w:p w:rsidR="009A34AD" w:rsidRPr="009A34AD" w:rsidRDefault="009A34AD" w:rsidP="009A34AD">
            <w:pPr>
              <w:bidi w:val="0"/>
              <w:jc w:val="center"/>
              <w:rPr>
                <w:rFonts w:ascii="Arial" w:hAnsi="Arial" w:cs="David"/>
                <w:b/>
                <w:bCs/>
                <w:sz w:val="28"/>
                <w:szCs w:val="28"/>
                <w:u w:val="single"/>
                <w:rtl/>
              </w:rPr>
            </w:pPr>
            <w:r w:rsidRPr="009A34AD">
              <w:rPr>
                <w:rFonts w:ascii="Arial" w:hAnsi="Arial" w:cs="David"/>
                <w:b/>
                <w:bCs/>
                <w:sz w:val="28"/>
                <w:szCs w:val="28"/>
                <w:u w:val="single"/>
                <w:rtl/>
              </w:rPr>
              <w:t>פסק דין</w:t>
            </w:r>
          </w:p>
        </w:tc>
      </w:tr>
    </w:tbl>
    <w:p w:rsidR="009A34AD" w:rsidRPr="009A34AD" w:rsidRDefault="009A34AD" w:rsidP="009A34AD">
      <w:pPr>
        <w:spacing w:after="0" w:line="360" w:lineRule="auto"/>
        <w:jc w:val="both"/>
        <w:rPr>
          <w:rFonts w:ascii="Arial" w:eastAsia="Times New Roman" w:hAnsi="Arial" w:cs="David"/>
          <w:sz w:val="24"/>
          <w:szCs w:val="24"/>
          <w:rtl/>
        </w:rPr>
      </w:pPr>
    </w:p>
    <w:p w:rsidR="009A34AD" w:rsidRPr="009A34AD" w:rsidRDefault="009A34AD" w:rsidP="009A34AD">
      <w:pPr>
        <w:spacing w:after="0" w:line="360" w:lineRule="auto"/>
        <w:jc w:val="both"/>
        <w:rPr>
          <w:rFonts w:ascii="David" w:eastAsia="Times New Roman" w:hAnsi="David" w:cs="David"/>
          <w:b/>
          <w:bCs/>
          <w:sz w:val="24"/>
          <w:szCs w:val="24"/>
          <w:u w:val="single"/>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לפני תובענה שעניינה חיוב מזונותיהם של 2 קטינים, תאומים ילידי 01.06.2016 (להלן: "הקטינים"). </w:t>
      </w:r>
    </w:p>
    <w:p w:rsidR="009A34AD" w:rsidRPr="009A34AD" w:rsidRDefault="009A34AD" w:rsidP="009A34AD">
      <w:pPr>
        <w:spacing w:after="0" w:line="360" w:lineRule="auto"/>
        <w:ind w:left="425"/>
        <w:contextualSpacing/>
        <w:jc w:val="both"/>
        <w:rPr>
          <w:rFonts w:ascii="David" w:eastAsia="Times New Roman" w:hAnsi="David" w:cs="David"/>
          <w:sz w:val="24"/>
          <w:szCs w:val="24"/>
        </w:rPr>
      </w:pPr>
    </w:p>
    <w:p w:rsidR="009A34AD" w:rsidRPr="009A34AD" w:rsidRDefault="009A34AD" w:rsidP="009A34AD">
      <w:pPr>
        <w:spacing w:after="0" w:line="360" w:lineRule="auto"/>
        <w:ind w:left="425"/>
        <w:contextualSpacing/>
        <w:jc w:val="both"/>
        <w:rPr>
          <w:rFonts w:ascii="David" w:eastAsia="Times New Roman" w:hAnsi="David" w:cs="David"/>
          <w:b/>
          <w:bCs/>
          <w:sz w:val="24"/>
          <w:szCs w:val="24"/>
          <w:u w:val="single"/>
          <w:rtl/>
        </w:rPr>
      </w:pPr>
      <w:r w:rsidRPr="009A34AD">
        <w:rPr>
          <w:rFonts w:ascii="David" w:eastAsia="Times New Roman" w:hAnsi="David" w:cs="David"/>
          <w:b/>
          <w:bCs/>
          <w:sz w:val="24"/>
          <w:szCs w:val="24"/>
          <w:u w:val="single"/>
          <w:rtl/>
        </w:rPr>
        <w:t>רקע וטענות הצדדים:</w:t>
      </w:r>
    </w:p>
    <w:p w:rsidR="009A34AD" w:rsidRPr="009A34AD" w:rsidRDefault="009A34AD" w:rsidP="009A34AD">
      <w:pPr>
        <w:spacing w:after="0" w:line="360" w:lineRule="auto"/>
        <w:ind w:left="425"/>
        <w:contextualSpacing/>
        <w:jc w:val="both"/>
        <w:rPr>
          <w:rFonts w:ascii="David" w:eastAsia="Times New Roman" w:hAnsi="David" w:cs="David"/>
          <w:b/>
          <w:bCs/>
          <w:sz w:val="24"/>
          <w:szCs w:val="24"/>
          <w:u w:val="single"/>
          <w:rtl/>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התובעת (להלן: "התובעת"/"האם") והנתבע (להלן: "הנתבע"/"האב") נישאו זל"ז כדמו"י 5.11.2013; מנישואין אלו נולדו  הקטינים.  </w:t>
      </w:r>
    </w:p>
    <w:p w:rsidR="009A34AD" w:rsidRPr="009A34AD" w:rsidRDefault="009A34AD" w:rsidP="009A34AD">
      <w:pPr>
        <w:spacing w:after="0" w:line="360" w:lineRule="auto"/>
        <w:ind w:left="425"/>
        <w:jc w:val="both"/>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Pr>
      </w:pPr>
      <w:r w:rsidRPr="009A34AD">
        <w:rPr>
          <w:rFonts w:ascii="David" w:eastAsia="Times New Roman" w:hAnsi="David" w:cs="David"/>
          <w:sz w:val="24"/>
          <w:szCs w:val="24"/>
          <w:rtl/>
        </w:rPr>
        <w:t>מסבירה התובעת בתביעתה כי הצדדים נפרדו עת עזב הנתבע את הבית ביום 14.06.2021 ולאחר מכן הוגשה בקשה ליישוב סכסוך בבית הדין הרבני ביום 01.08.2021.</w:t>
      </w:r>
    </w:p>
    <w:p w:rsidR="009A34AD" w:rsidRPr="009A34AD" w:rsidRDefault="009A34AD" w:rsidP="009A34AD">
      <w:pPr>
        <w:spacing w:after="0" w:line="240" w:lineRule="auto"/>
        <w:ind w:left="720"/>
        <w:contextualSpacing/>
        <w:rPr>
          <w:rFonts w:ascii="David" w:eastAsia="Times New Roman" w:hAnsi="David" w:cs="David"/>
          <w:sz w:val="24"/>
          <w:szCs w:val="24"/>
          <w:rtl/>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בתביעתה, ביקשה התובעת חיוב במזונות הקטינים החל מחודש 11/2021 ועד גיל 6 בשיעור מלא עבור הוצאות הקטינים מחובתו האישית ולאחר גיל 6 חיוב במלוא בהוצאות תלויות שהות ושאינן תלויות שהות עת היה מפרנס יחיד כל השנים ובשל פערי השכר הצפויים בין הצדדים. כך גם מבקשת חיוב עבור הילדים, לאחר גיל 18, בשיעור של שליש עד לסיום שירות צבאי.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מחלוקת עיקשת ועיקרת בין הצדדים נסובה סביב הכנסות כל אחד מהם.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לעניין כושר השתכרות, טוענת התובעת כי במהלך החיים המשותפים הוסכם על ידי הצדדים כי האב הוא זה שיפרנס את התא המשפחתי וזאת עוד מתחילת הקשר הזוגי וטיפולי הפוריות שבוצעו קודם ללידת הקטינים. טוענת האם כי גם לאחר לידת הקטינים לא עבדה והתמסרה לגידולם.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lastRenderedPageBreak/>
        <w:t>לטענת התובעת, במהלך קשר הנישואין, לאחר שבעידודו של התובע עזבה את מקום עבודתה כשכירה, עבדה וטיפחה את העסק המשותף שמימן את התא המשפחתי וזה כלל שתי חנויות נוחות המכונות "</w:t>
      </w:r>
      <w:r>
        <w:rPr>
          <w:rFonts w:ascii="David" w:eastAsia="Times New Roman" w:hAnsi="David" w:cs="David" w:hint="cs"/>
          <w:sz w:val="24"/>
          <w:szCs w:val="24"/>
          <w:rtl/>
        </w:rPr>
        <w:t>......</w:t>
      </w:r>
      <w:r w:rsidRPr="009A34AD">
        <w:rPr>
          <w:rFonts w:ascii="David" w:eastAsia="Times New Roman" w:hAnsi="David" w:cs="David"/>
          <w:sz w:val="24"/>
          <w:szCs w:val="24"/>
          <w:rtl/>
        </w:rPr>
        <w:t xml:space="preserve">" (להלן: "העסק") המצויות בשליטתו המלאה של הנתבע ומהן מנהל הוא עסק אחד, תחת עוסק מורשה על שמו.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דחתה האם את טענות האב כאילו הקימה עסק עם אחותה ויש לה הכנסות שאינן מדווחות לרבות מעסק פרטי של אפיית עוגות. לטענתה עוד בשנת 2015 יזמה אחותה הקמת עסק שנקרא "</w:t>
      </w:r>
      <w:r>
        <w:rPr>
          <w:rFonts w:ascii="David" w:eastAsia="Times New Roman" w:hAnsi="David" w:cs="David" w:hint="cs"/>
          <w:sz w:val="24"/>
          <w:szCs w:val="24"/>
          <w:rtl/>
        </w:rPr>
        <w:t>.......</w:t>
      </w:r>
      <w:r w:rsidRPr="009A34AD">
        <w:rPr>
          <w:rFonts w:ascii="David" w:eastAsia="Times New Roman" w:hAnsi="David" w:cs="David"/>
          <w:sz w:val="24"/>
          <w:szCs w:val="24"/>
          <w:rtl/>
        </w:rPr>
        <w:t xml:space="preserve">" (להלן: "העסק של האחות") ואולם בעסק זה הייתה שותפה ברישום הפורמלי בלבד ללא שעשתה דבר למען העסק ולא התפרנסה ממנו.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לטענת התובעת אין לה הכשרה מקצועית כ</w:t>
      </w:r>
      <w:r>
        <w:rPr>
          <w:rFonts w:ascii="David" w:eastAsia="Times New Roman" w:hAnsi="David" w:cs="David" w:hint="cs"/>
          <w:sz w:val="24"/>
          <w:szCs w:val="24"/>
          <w:rtl/>
        </w:rPr>
        <w:t>.....</w:t>
      </w:r>
      <w:r w:rsidRPr="009A34AD">
        <w:rPr>
          <w:rFonts w:ascii="David" w:eastAsia="Times New Roman" w:hAnsi="David" w:cs="David"/>
          <w:sz w:val="24"/>
          <w:szCs w:val="24"/>
          <w:rtl/>
        </w:rPr>
        <w:t xml:space="preserve"> על אף ניסיונות הנתבע להציג זאת כך. בסיכומיה הפנתה התובעת לכך שהיא עבדה בעבודות מזדמנות שמניבות לה הכנסה חודשית של לא יותר מ – 1,200 ₪ לחודש.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מסבירה האם כי הוצאות הבית והקטינים כגון רכישות צעצועים, אחזקת בית, רכישת מוצרי מזון מכולת וירקן וכיו"ב מומנו מהכנסות שאינן מדווחות. הוצאות נוספות של התא המשפחתי כגון הוראות קבע עבור אחזקת מדור ורכישות לשל מזון וביגוד מומנו מחשבון הנתבע והיתר מחשבון משותף שניהלו הצדדים משם נפרעו בין היתר חיובי שכר הדירה בסך חודשי של כ – 9,600 ₪ אותם היה דואג הנתבע להפקיד מדי חודש.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לטענת התובעת, רמת המחיה מצביעה של שיעור הוצאות חודשיות בסך של כ – 35,000 ₪.  עניין זה מקבל גם מענה על ידי הנתבע בסיכומיו שם משיב כי מאז נפרדו הצדדים וניהול העסק עבר לידיו, ישנה הפרדה בין הוצאות פרטיות והוצאות עסקיות כך שאין לקבל את גרסתה התובעת לעניין הוצאות התא המשפחתי.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לטענת התובעת, לאחר שחדל הנתבע לממן את הוצאות הבית והילדים, כך גם ביטל הוראת קבע של הצהרונים בהם שהו הקטינים עד 11/2021, נדרשה היא להלוואות.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טוענת האם בעניין הסדרי השהות, כי הנתבע שוהה עם הילדים לכל היותר אחת לשבוע וללא סידורי לינה.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האם העמידה את הוצאותיו של כל קטין בסך של 5,300 ₪ עבור הוצאות תלויות שהות ושאינן תלויות שהות.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עוד מצביעה האם על הוצאות חריגות שנדרשו לכל קטין בשיעור של 2,182 ₪ והוצאות מדור ואחזקת מדור בסך של 9,567 ₪ לחודש.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מנגד, טען הנתבע כי העסק שהוא מנהל אינו רווחי כפי שמנסה התובעת לטעון ומציג דוחות מהם עולה כי העסק מצוי בהפסדים. הנתבע מבקש שלא להסתמך על מחזור הכספים שכן זה אינו מעיד על רווחים. לעניין זה השיבה התובעת כי הנתבע רושם הפסדים תחת רכישות העולות על שיעור ההכנסות של העסק באופן שאינו מוצדק וכי ההפסדים אינם אמתיים.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הנתבע הציג דוחות רווח והפסד לפיו הכנסתו הממוצעת החודשית מהעסק השתפרה בשנת 2018 ואולם מאז חלה ירידה ועתה הוא בהפסד.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הנתבע טוען כי לתובעת כושר השתכרות ומעבר לכך הכנסות בפועל בשל היותה שותפה לעסק תוך לקיחת חלק פעיל בניהולו במקביל להקמת עסק עם אחותה. לטענת הנתבע, נוכח רצונה להצביע על העדר הכנסה, פעלה לטובת הוצאתה מהרישומים הרשמיים כמי שמעורבת בעסק עם אחותה.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כאמור, טוען הנתבע כי לתובעת פוטנציאל כושר השתכרות שכן מחזיקה היא בתואר ב</w:t>
      </w:r>
      <w:r>
        <w:rPr>
          <w:rFonts w:ascii="David" w:eastAsia="Times New Roman" w:hAnsi="David" w:cs="David" w:hint="cs"/>
          <w:sz w:val="24"/>
          <w:szCs w:val="24"/>
          <w:rtl/>
        </w:rPr>
        <w:t>......</w:t>
      </w:r>
      <w:r w:rsidRPr="009A34AD">
        <w:rPr>
          <w:rFonts w:ascii="David" w:eastAsia="Times New Roman" w:hAnsi="David" w:cs="David"/>
          <w:sz w:val="24"/>
          <w:szCs w:val="24"/>
          <w:rtl/>
        </w:rPr>
        <w:t xml:space="preserve"> וניסיון מקצועי בתחום, היא בעלת עסק עם אחותה ובצד כל זאת מפעילה עסקי </w:t>
      </w:r>
      <w:r>
        <w:rPr>
          <w:rFonts w:ascii="David" w:eastAsia="Times New Roman" w:hAnsi="David" w:cs="David" w:hint="cs"/>
          <w:sz w:val="24"/>
          <w:szCs w:val="24"/>
          <w:rtl/>
        </w:rPr>
        <w:t>......</w:t>
      </w:r>
      <w:r w:rsidRPr="009A34AD">
        <w:rPr>
          <w:rFonts w:ascii="David" w:eastAsia="Times New Roman" w:hAnsi="David" w:cs="David"/>
          <w:sz w:val="24"/>
          <w:szCs w:val="24"/>
          <w:rtl/>
        </w:rPr>
        <w:t xml:space="preserve">תוך שהיא משקיעה בקורסים מקצועיים בעניין זה. על כן טוב תעשה לו תנצל את פוטנציאל כושר ההשתכרות שלה.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לטענת הנתבע קרס הוא תחת הנטל הכלכלי ותביעותיה ודרישותיה הכלכליות לרבות הדרישה לחייבו בחיוב מופרז במזונות הקטינים.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לעניין אחריותו כהורה, טוען הנתבע כי הוא לקח ולוקח חלק פעיל בגידולם של הילדים ככל שהתובעת מאפשרת לו.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טרם הפרידה, הצדדים התגוררו בדירה בשכירות בעלות של 4,800 ₪ כאשר הוצג הסכם שכירות לפיו דמי השכירות על סך של 5,100 ₪ לחודש אולם נהנו הם מהנחה שניתנה על ידי בעל הבית.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לטענת הנתבע, לתובעת חשבונות בנק, כספים וירושות שאין היא נידבה לו מידע לגביהם ועדיין מסתירה ממנו את המידע.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לעניין הרכב שנמכר – הסביר הנתבע כי תמורתו שימשה לסילוק חובות לרבות החזר מענקי קורונה שנדרש לשאת בהם בהעדר מקורות הכנסה אחרים.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ביום 17.4.2022 ניתנה החלטתי בדבר מזונותיהם הזמניים של הקטינים.</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lastRenderedPageBreak/>
        <w:t xml:space="preserve">ביום 7.12.2022 התקיימה ישיבת הוכחות במהלכה נחקרו הצדדים, אחותה של התובעת ורו"ח שטיפל בעניינם העסקיים של הצדדים.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עתה גם מונחים לפניי הסיכומים מטעם הצדדים.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במסגרת סיכומיה הפנתה התובעת להחלטת בית הדין הרבני שניתנה ביום 16.11.2022 והוצגה גם בישיבת ההוכחות כי זמני השהות הם ביחס של 32%-68% לטובת התובעת. לטענת האב הנסמך על הוראות התסקיר מיום 19.10.2022 זמני השהות הם בשיעורים של 40% - 60% וכי הוא לוקח חלק פעיל בחינוכם של הקטינים ובהדרכות הוריות.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בסעיף 10 לסיכומיו מאשר הנתבע כי הוא נושא כל כתפיו את נטל הפרנסה והתובעת לא מסייעת לפרנסת הקטינים ועליה להשתלב בשוק העבודה ולחלוק בנטל כך שאין לאפשר לה עוד לשמר מצב של העדר מאמץ בחלוקה בנטל הכלכלי. על כן אין גם לקבל הוצאות של צהרון עבור הקטינים כל עוד התובעת מבקשת לשמר את המצב ולא לעבוד. בצד זאת טוען הנתבע כי התובעת עבדה ועובדת עם אחותה בעסק שלה, יש על כך דיווחים לרשויות המס גם במהלך קשר הנישואין כ"בת זוג" וממילא אין לקבל את גרסתה כי יכולתה להשתכר מסתמכת בסך של 1,258 ₪ לחודש.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פרק ארוך בסיכומיו מקדיש הנתבע לשילובה של התובעת בעסק של אחותה  - עסק שטען כי הוקם על מנת לסייע לפרנסת המשפחה - ולהיותה שותפה פעילה בו, לכל הפחות עד שהועברה הבעלות בעסק במלואה לידי אחותה ולטענתו אין לקבל את גרסתה או גרסת מי מהעדים לעניין חלקה של התובעת בעסק זה ולמעשה אין לקבל את הגרסה כי הרישום הפורמלי לא הניב בפועל הכנסות ולמעשה אין לתובעת קשר לעסק זה.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הנתבע בסיכומיו לא הסתפק בהפניות אלא גם בחר לצרף אסמכתאות. יובהר כבר כאן ועוד קודם לדיון בהליך, כי אין ולא היה מקום לצרף אסמכתאות ונספחים לסיכומים. סיכומים כשמם כן הם ודי היה בהפניה למוצג תחת צירוף מסמכים שחייבו את המותב לבדוק איזהו מסמך הוגש במהלך ההליך ואיזה מסמך צורף לראשונה לסיכומים. סיכומים אינם פתח למקצה שיפורים וודאי שאין מקום לצרף מסמכים שלא הוגשו במסגרת ההליך קודם או במהלך ישיבת ההוכחות, מה גם שלא נתבקש היתר להגיש מסמכים שכאלו. נוכח האמור לא תתברר כל טענה הנסמכת על אסמכתאות שהוצגו לראשונה בסיכומי הנתבע.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טען הנתבע כי העסק של אחותה של התובעת הוא למעשה עסק מתחרה ולפיכך גם סופג הוא הפסדים בעסק שלו עצמו והכנסותיו החודשיות מסתכמות בסך של כ- 10,270 ₪ לחודש.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spacing w:after="0" w:line="240" w:lineRule="auto"/>
        <w:ind w:left="720"/>
        <w:contextualSpacing/>
        <w:rPr>
          <w:rFonts w:ascii="David" w:eastAsia="Times New Roman" w:hAnsi="David" w:cs="David"/>
          <w:sz w:val="24"/>
          <w:szCs w:val="24"/>
          <w:rtl/>
        </w:rPr>
      </w:pPr>
    </w:p>
    <w:p w:rsidR="009A34AD" w:rsidRPr="009A34AD" w:rsidRDefault="009A34AD" w:rsidP="009A34AD">
      <w:pPr>
        <w:spacing w:after="0" w:line="360" w:lineRule="auto"/>
        <w:jc w:val="both"/>
        <w:rPr>
          <w:rFonts w:ascii="David" w:eastAsia="Times New Roman" w:hAnsi="David" w:cs="David"/>
          <w:sz w:val="24"/>
          <w:szCs w:val="24"/>
          <w:rtl/>
        </w:rPr>
      </w:pPr>
    </w:p>
    <w:p w:rsidR="009A34AD" w:rsidRPr="009A34AD" w:rsidRDefault="009A34AD" w:rsidP="009A34AD">
      <w:pPr>
        <w:spacing w:after="0" w:line="360" w:lineRule="auto"/>
        <w:jc w:val="both"/>
        <w:rPr>
          <w:rFonts w:ascii="David" w:eastAsia="Times New Roman" w:hAnsi="David" w:cs="David"/>
          <w:b/>
          <w:bCs/>
          <w:sz w:val="24"/>
          <w:szCs w:val="24"/>
          <w:u w:val="single"/>
        </w:rPr>
      </w:pPr>
      <w:r w:rsidRPr="009A34AD">
        <w:rPr>
          <w:rFonts w:ascii="David" w:eastAsia="Times New Roman" w:hAnsi="David" w:cs="David"/>
          <w:b/>
          <w:bCs/>
          <w:sz w:val="24"/>
          <w:szCs w:val="24"/>
          <w:u w:val="single"/>
          <w:rtl/>
        </w:rPr>
        <w:lastRenderedPageBreak/>
        <w:t>דיון והכרעה:</w:t>
      </w:r>
    </w:p>
    <w:p w:rsidR="009A34AD" w:rsidRPr="009A34AD" w:rsidRDefault="009A34AD" w:rsidP="009A34AD">
      <w:pPr>
        <w:spacing w:after="0" w:line="360" w:lineRule="auto"/>
        <w:jc w:val="both"/>
        <w:rPr>
          <w:rFonts w:ascii="David" w:eastAsia="Times New Roman" w:hAnsi="David" w:cs="David"/>
          <w:b/>
          <w:bCs/>
          <w:sz w:val="24"/>
          <w:szCs w:val="24"/>
          <w:u w:val="single"/>
          <w:rtl/>
        </w:rPr>
      </w:pPr>
    </w:p>
    <w:p w:rsidR="009A34AD" w:rsidRPr="009A34AD" w:rsidRDefault="009A34AD" w:rsidP="009A34AD">
      <w:pPr>
        <w:spacing w:after="0" w:line="360" w:lineRule="auto"/>
        <w:jc w:val="both"/>
        <w:rPr>
          <w:rFonts w:ascii="David" w:eastAsia="Times New Roman" w:hAnsi="David" w:cs="David"/>
          <w:b/>
          <w:bCs/>
          <w:sz w:val="24"/>
          <w:szCs w:val="24"/>
          <w:u w:val="single"/>
          <w:rtl/>
        </w:rPr>
      </w:pPr>
      <w:r w:rsidRPr="009A34AD">
        <w:rPr>
          <w:rFonts w:ascii="David" w:eastAsia="Times New Roman" w:hAnsi="David" w:cs="David"/>
          <w:b/>
          <w:bCs/>
          <w:sz w:val="24"/>
          <w:szCs w:val="24"/>
          <w:u w:val="single"/>
          <w:rtl/>
        </w:rPr>
        <w:t>הדין החל</w:t>
      </w:r>
    </w:p>
    <w:p w:rsidR="009A34AD" w:rsidRPr="009A34AD" w:rsidRDefault="009A34AD" w:rsidP="009A34AD">
      <w:pPr>
        <w:spacing w:after="0" w:line="360" w:lineRule="auto"/>
        <w:jc w:val="both"/>
        <w:rPr>
          <w:rFonts w:ascii="David" w:eastAsia="Times New Roman" w:hAnsi="David" w:cs="David"/>
          <w:sz w:val="24"/>
          <w:szCs w:val="24"/>
          <w:rtl/>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למען הסדר הטוב והגם שהדברים הובאו בהרחבה בהחלטתי בה נקבעו מזונות זמניים, אחזור על עיקרי הדברים ואוסיף עליהם. </w:t>
      </w:r>
    </w:p>
    <w:p w:rsidR="009A34AD" w:rsidRPr="009A34AD" w:rsidRDefault="009A34AD" w:rsidP="009A34AD">
      <w:pPr>
        <w:spacing w:after="240" w:line="360" w:lineRule="auto"/>
        <w:ind w:left="425"/>
        <w:contextualSpacing/>
        <w:jc w:val="both"/>
        <w:rPr>
          <w:rFonts w:ascii="David" w:eastAsia="Times New Roman" w:hAnsi="David" w:cs="David"/>
          <w:sz w:val="24"/>
          <w:szCs w:val="24"/>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sz w:val="24"/>
          <w:szCs w:val="24"/>
        </w:rPr>
      </w:pPr>
      <w:r w:rsidRPr="009A34AD">
        <w:rPr>
          <w:rFonts w:ascii="David" w:eastAsia="Times New Roman" w:hAnsi="David" w:cs="David"/>
          <w:sz w:val="24"/>
          <w:szCs w:val="24"/>
          <w:rtl/>
        </w:rPr>
        <w:t xml:space="preserve">סעיף 3(א) </w:t>
      </w:r>
      <w:r w:rsidRPr="009A34AD">
        <w:rPr>
          <w:rFonts w:ascii="David" w:eastAsia="Times New Roman" w:hAnsi="David" w:cs="David"/>
          <w:sz w:val="24"/>
          <w:szCs w:val="24"/>
          <w:u w:val="single"/>
          <w:rtl/>
        </w:rPr>
        <w:t>ל</w:t>
      </w:r>
      <w:hyperlink w:history="1">
        <w:r w:rsidRPr="009A34AD">
          <w:rPr>
            <w:rFonts w:ascii="David" w:eastAsia="Times New Roman" w:hAnsi="David" w:cs="David"/>
            <w:sz w:val="24"/>
            <w:szCs w:val="24"/>
            <w:u w:val="single"/>
            <w:rtl/>
          </w:rPr>
          <w:t>חוק לתיקון דיני המשפחה</w:t>
        </w:r>
      </w:hyperlink>
      <w:r w:rsidRPr="009A34AD">
        <w:rPr>
          <w:rFonts w:ascii="David" w:eastAsia="Times New Roman" w:hAnsi="David" w:cs="David"/>
          <w:sz w:val="24"/>
          <w:szCs w:val="24"/>
          <w:u w:val="single"/>
          <w:rtl/>
        </w:rPr>
        <w:t xml:space="preserve"> (מזונות) התשי"ט-1959</w:t>
      </w:r>
      <w:r w:rsidRPr="009A34AD">
        <w:rPr>
          <w:rFonts w:ascii="David" w:eastAsia="Times New Roman" w:hAnsi="David" w:cs="David"/>
          <w:sz w:val="24"/>
          <w:szCs w:val="24"/>
          <w:rtl/>
        </w:rPr>
        <w:t xml:space="preserve">, קובע כי אדם חייב במזונות ילדיו לפי הדין האישי החל עליו. בעניינו החיוב הוא על פי הדין העברי. </w:t>
      </w:r>
    </w:p>
    <w:p w:rsidR="009A34AD" w:rsidRPr="009A34AD" w:rsidRDefault="009A34AD" w:rsidP="009A34AD">
      <w:pPr>
        <w:spacing w:after="240" w:line="360" w:lineRule="auto"/>
        <w:ind w:left="425"/>
        <w:contextualSpacing/>
        <w:jc w:val="both"/>
        <w:rPr>
          <w:rFonts w:ascii="David" w:eastAsia="Times New Roman" w:hAnsi="David" w:cs="David"/>
          <w:sz w:val="24"/>
          <w:szCs w:val="24"/>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sz w:val="24"/>
          <w:szCs w:val="24"/>
          <w:rtl/>
        </w:rPr>
      </w:pPr>
      <w:r w:rsidRPr="009A34AD">
        <w:rPr>
          <w:rFonts w:ascii="David" w:eastAsia="Times New Roman" w:hAnsi="David" w:cs="David"/>
          <w:noProof/>
          <w:sz w:val="24"/>
          <w:szCs w:val="24"/>
          <w:rtl/>
        </w:rPr>
        <w:t xml:space="preserve">בהתאם להלכה שנפסקה בבע"מ 919/15, 1709/15 </w:t>
      </w:r>
      <w:r w:rsidRPr="009A34AD">
        <w:rPr>
          <w:rFonts w:ascii="David" w:eastAsia="Times New Roman" w:hAnsi="David" w:cs="David"/>
          <w:b/>
          <w:bCs/>
          <w:noProof/>
          <w:sz w:val="24"/>
          <w:szCs w:val="24"/>
          <w:u w:val="single"/>
          <w:rtl/>
        </w:rPr>
        <w:t>פלונית נ' פלוני ואח'</w:t>
      </w:r>
      <w:r w:rsidRPr="009A34AD">
        <w:rPr>
          <w:rFonts w:ascii="David" w:eastAsia="Times New Roman" w:hAnsi="David" w:cs="David"/>
          <w:noProof/>
          <w:sz w:val="24"/>
          <w:szCs w:val="24"/>
          <w:rtl/>
        </w:rPr>
        <w:t xml:space="preserve"> (19.7.17), יש להשוות את המצב המשפטי וחובת אב לשאת במזונות הקטינים שבין הגילאים 6-15 לסיפוק צרכי הקטינים שמעל גיל 15 עד כדי רמת החיים בה הורגלו ערב הפירוד, מדין צדקה, באופן יחסי להכנסות ההורים מכל מקור העומד לרשותם. </w:t>
      </w:r>
    </w:p>
    <w:p w:rsidR="009A34AD" w:rsidRPr="009A34AD" w:rsidRDefault="009A34AD" w:rsidP="009A34AD">
      <w:pPr>
        <w:spacing w:after="0" w:line="240" w:lineRule="auto"/>
        <w:ind w:left="720"/>
        <w:contextualSpacing/>
        <w:rPr>
          <w:rFonts w:ascii="David" w:eastAsia="Times New Roman" w:hAnsi="David" w:cs="David"/>
          <w:sz w:val="24"/>
          <w:szCs w:val="24"/>
          <w:rtl/>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sz w:val="24"/>
          <w:szCs w:val="24"/>
        </w:rPr>
      </w:pPr>
      <w:r w:rsidRPr="009A34AD">
        <w:rPr>
          <w:rFonts w:ascii="David" w:eastAsia="Times New Roman" w:hAnsi="David" w:cs="David"/>
          <w:sz w:val="24"/>
          <w:szCs w:val="24"/>
          <w:rtl/>
        </w:rPr>
        <w:t xml:space="preserve">עת נדרש בית המשפט לקבוע שיעור חיובי מזונות הקטינים, לפניו עומדת מטרה אחת והיא סיפוק צרכיהם של הילדים.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sz w:val="24"/>
          <w:szCs w:val="24"/>
          <w:rtl/>
        </w:rPr>
      </w:pPr>
      <w:r w:rsidRPr="009A34AD">
        <w:rPr>
          <w:rFonts w:ascii="Arial" w:eastAsia="Times New Roman" w:hAnsi="Arial" w:cs="David"/>
          <w:sz w:val="24"/>
          <w:szCs w:val="24"/>
          <w:rtl/>
        </w:rPr>
        <w:t xml:space="preserve">קודם לפסיקת </w:t>
      </w:r>
      <w:hyperlink r:id="rId7" w:history="1">
        <w:r w:rsidRPr="009A34AD">
          <w:rPr>
            <w:rFonts w:ascii="Arial" w:eastAsia="Times New Roman" w:hAnsi="Arial" w:cs="David"/>
            <w:sz w:val="24"/>
            <w:szCs w:val="24"/>
            <w:rtl/>
          </w:rPr>
          <w:t>בע"מ 919/15</w:t>
        </w:r>
      </w:hyperlink>
      <w:r w:rsidRPr="009A34AD">
        <w:rPr>
          <w:rFonts w:ascii="Arial" w:eastAsia="Times New Roman" w:hAnsi="Arial" w:cs="David"/>
          <w:sz w:val="24"/>
          <w:szCs w:val="24"/>
          <w:rtl/>
        </w:rPr>
        <w:t>, נפסקו על דרך הכלל מזונות שהם בבחינת "צרכים הכרחיים" גם על מנת שלא להכביד יתר על המידה על אב שאינו אמיד ואשר נשא באופן בלעדי בתשלום המזונות וכדי להבטיח מצד שני רמת חיים מינימלית לקטין. בפסיקה הועמדו צרכים אלו על סך של כ – 1,250 עד 1,300 ₪ אולם פסיקה מאוחרת לכך קבעה כי סכום זה יעמוד על סך של כ - 1600-1900 ₪ בחודש (ראו ב</w:t>
      </w:r>
      <w:hyperlink r:id="rId8" w:history="1">
        <w:r w:rsidRPr="009A34AD">
          <w:rPr>
            <w:rFonts w:ascii="Arial" w:eastAsia="Times New Roman" w:hAnsi="Arial" w:cs="David"/>
            <w:sz w:val="24"/>
            <w:szCs w:val="24"/>
            <w:rtl/>
          </w:rPr>
          <w:t>עמ"ש (מחוזי מרכז)  65692-11-19</w:t>
        </w:r>
      </w:hyperlink>
      <w:r w:rsidRPr="009A34AD">
        <w:rPr>
          <w:rFonts w:ascii="Arial" w:eastAsia="Times New Roman" w:hAnsi="Arial" w:cs="David"/>
          <w:sz w:val="24"/>
          <w:szCs w:val="24"/>
          <w:rtl/>
        </w:rPr>
        <w:t xml:space="preserve"> </w:t>
      </w:r>
      <w:r w:rsidRPr="009A34AD">
        <w:rPr>
          <w:rFonts w:ascii="Arial" w:eastAsia="Times New Roman" w:hAnsi="Arial" w:cs="David" w:hint="cs"/>
          <w:b/>
          <w:bCs/>
          <w:sz w:val="24"/>
          <w:szCs w:val="24"/>
          <w:rtl/>
        </w:rPr>
        <w:t>ס נ' ס</w:t>
      </w:r>
      <w:r w:rsidRPr="009A34AD">
        <w:rPr>
          <w:rFonts w:ascii="Arial" w:eastAsia="Times New Roman" w:hAnsi="Arial" w:cs="David" w:hint="cs"/>
          <w:sz w:val="24"/>
          <w:szCs w:val="24"/>
          <w:rtl/>
        </w:rPr>
        <w:t xml:space="preserve"> [נבו 22/9/20]).</w:t>
      </w:r>
    </w:p>
    <w:p w:rsidR="009A34AD" w:rsidRPr="009A34AD" w:rsidRDefault="009A34AD" w:rsidP="009A34AD">
      <w:pPr>
        <w:spacing w:after="240" w:line="360" w:lineRule="auto"/>
        <w:ind w:left="425"/>
        <w:contextualSpacing/>
        <w:jc w:val="both"/>
        <w:rPr>
          <w:rFonts w:ascii="David" w:eastAsia="Times New Roman" w:hAnsi="David" w:cs="David"/>
          <w:sz w:val="24"/>
          <w:szCs w:val="24"/>
        </w:rPr>
      </w:pPr>
      <w:r w:rsidRPr="009A34AD">
        <w:rPr>
          <w:rFonts w:ascii="David" w:eastAsia="Times New Roman" w:hAnsi="David" w:cs="David"/>
          <w:sz w:val="24"/>
          <w:szCs w:val="24"/>
          <w:rtl/>
        </w:rPr>
        <w:t>סקירה משפטית לעניין זה וקביעת הקריטריונים עבור מזונות קטין, גם כזה שאינו חולק זמנו אופן שווה בין שני בתים, ראו נא פסק דינו של כב' השופט זגורי ב</w:t>
      </w:r>
      <w:r w:rsidRPr="009A34AD">
        <w:rPr>
          <w:rFonts w:ascii="Times New Roman" w:eastAsia="Times New Roman" w:hAnsi="Times New Roman" w:cs="David"/>
          <w:b/>
          <w:bCs/>
          <w:sz w:val="26"/>
          <w:szCs w:val="26"/>
          <w:rtl/>
        </w:rPr>
        <w:t xml:space="preserve"> </w:t>
      </w:r>
      <w:r w:rsidRPr="009A34AD">
        <w:rPr>
          <w:rFonts w:ascii="David" w:eastAsia="Times New Roman" w:hAnsi="David" w:cs="David"/>
          <w:sz w:val="24"/>
          <w:szCs w:val="24"/>
          <w:rtl/>
        </w:rPr>
        <w:t>תלה"מ 52191-08-21</w:t>
      </w:r>
      <w:r w:rsidRPr="009A34AD">
        <w:rPr>
          <w:rFonts w:ascii="David" w:eastAsia="Times New Roman" w:hAnsi="David" w:cs="David"/>
          <w:b/>
          <w:bCs/>
          <w:sz w:val="24"/>
          <w:szCs w:val="24"/>
          <w:rtl/>
        </w:rPr>
        <w:t xml:space="preserve"> ל.ד. נ' א.ד.</w:t>
      </w:r>
      <w:r w:rsidRPr="009A34AD">
        <w:rPr>
          <w:rFonts w:ascii="David" w:eastAsia="Times New Roman" w:hAnsi="David" w:cs="David"/>
          <w:sz w:val="24"/>
          <w:szCs w:val="24"/>
          <w:rtl/>
        </w:rPr>
        <w:t>, 8.12.2021 [פורסם במאגרים מקוונים].</w:t>
      </w:r>
    </w:p>
    <w:p w:rsidR="009A34AD" w:rsidRPr="009A34AD" w:rsidRDefault="009A34AD" w:rsidP="009A34AD">
      <w:pPr>
        <w:spacing w:after="240" w:line="360" w:lineRule="auto"/>
        <w:ind w:left="425"/>
        <w:contextualSpacing/>
        <w:jc w:val="both"/>
        <w:rPr>
          <w:rFonts w:ascii="David" w:eastAsia="Times New Roman" w:hAnsi="David" w:cs="David"/>
          <w:sz w:val="24"/>
          <w:szCs w:val="24"/>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sz w:val="24"/>
          <w:szCs w:val="24"/>
          <w:rtl/>
        </w:rPr>
      </w:pPr>
      <w:r w:rsidRPr="009A34AD">
        <w:rPr>
          <w:rFonts w:ascii="Arial" w:eastAsia="Times New Roman" w:hAnsi="Arial" w:cs="David"/>
          <w:sz w:val="24"/>
          <w:szCs w:val="24"/>
          <w:rtl/>
        </w:rPr>
        <w:t xml:space="preserve">בשורה של פסקי דין כבר נקבע אופן החישוב של מזונות לקטין, כאשר הסכומים של מזונות הקטין, בהעדר ראיות המעידות של צרכיו, יכולים לנוע גם בין 2250 לבין 2400 ₪ בחודש (ראה: </w:t>
      </w:r>
      <w:hyperlink r:id="rId9" w:history="1">
        <w:r w:rsidRPr="009A34AD">
          <w:rPr>
            <w:rFonts w:ascii="Arial" w:eastAsia="Times New Roman" w:hAnsi="Arial" w:cs="David"/>
            <w:sz w:val="24"/>
            <w:szCs w:val="24"/>
            <w:rtl/>
          </w:rPr>
          <w:t>עמ"ש (מרכז) 51056-09-20</w:t>
        </w:r>
      </w:hyperlink>
      <w:r w:rsidRPr="009A34AD">
        <w:rPr>
          <w:rFonts w:ascii="Arial" w:eastAsia="Times New Roman" w:hAnsi="Arial" w:cs="David"/>
          <w:sz w:val="24"/>
          <w:szCs w:val="24"/>
          <w:rtl/>
        </w:rPr>
        <w:t xml:space="preserve"> </w:t>
      </w:r>
      <w:r w:rsidRPr="009A34AD">
        <w:rPr>
          <w:rFonts w:ascii="Arial" w:eastAsia="Times New Roman" w:hAnsi="Arial" w:cs="David" w:hint="cs"/>
          <w:b/>
          <w:bCs/>
          <w:sz w:val="24"/>
          <w:szCs w:val="24"/>
          <w:rtl/>
        </w:rPr>
        <w:t>מ.א. נ' י.מ.</w:t>
      </w:r>
      <w:r w:rsidRPr="009A34AD">
        <w:rPr>
          <w:rFonts w:ascii="Arial" w:eastAsia="Times New Roman" w:hAnsi="Arial" w:cs="David" w:hint="cs"/>
          <w:sz w:val="24"/>
          <w:szCs w:val="24"/>
          <w:rtl/>
        </w:rPr>
        <w:t xml:space="preserve"> [פורסם במאגרים מקוונים], 23/3/2021</w:t>
      </w:r>
      <w:r w:rsidRPr="009A34AD">
        <w:rPr>
          <w:rFonts w:ascii="Arial" w:eastAsia="Times New Roman" w:hAnsi="Arial" w:cs="David"/>
          <w:sz w:val="24"/>
          <w:szCs w:val="24"/>
        </w:rPr>
        <w:t>;</w:t>
      </w:r>
      <w:r w:rsidRPr="009A34AD">
        <w:rPr>
          <w:rFonts w:ascii="Arial" w:eastAsia="Times New Roman" w:hAnsi="Arial" w:cs="David"/>
          <w:sz w:val="24"/>
          <w:szCs w:val="24"/>
          <w:rtl/>
        </w:rPr>
        <w:t xml:space="preserve"> כן </w:t>
      </w:r>
      <w:hyperlink r:id="rId10" w:history="1">
        <w:r w:rsidRPr="009A34AD">
          <w:rPr>
            <w:rFonts w:ascii="Arial" w:eastAsia="Times New Roman" w:hAnsi="Arial" w:cs="David"/>
            <w:sz w:val="24"/>
            <w:szCs w:val="24"/>
            <w:rtl/>
          </w:rPr>
          <w:t>עמ"ש (חיפה) 51566-10-20</w:t>
        </w:r>
      </w:hyperlink>
      <w:r w:rsidRPr="009A34AD">
        <w:rPr>
          <w:rFonts w:ascii="Arial" w:eastAsia="Times New Roman" w:hAnsi="Arial" w:cs="David"/>
          <w:sz w:val="24"/>
          <w:szCs w:val="24"/>
          <w:rtl/>
        </w:rPr>
        <w:t xml:space="preserve"> </w:t>
      </w:r>
      <w:r w:rsidRPr="009A34AD">
        <w:rPr>
          <w:rFonts w:ascii="Arial" w:eastAsia="Times New Roman" w:hAnsi="Arial" w:cs="David" w:hint="cs"/>
          <w:b/>
          <w:bCs/>
          <w:sz w:val="24"/>
          <w:szCs w:val="24"/>
          <w:rtl/>
        </w:rPr>
        <w:t>א.ב. נ' ג.ד.</w:t>
      </w:r>
      <w:r w:rsidRPr="009A34AD">
        <w:rPr>
          <w:rFonts w:ascii="Arial" w:eastAsia="Times New Roman" w:hAnsi="Arial" w:cs="David" w:hint="cs"/>
          <w:sz w:val="24"/>
          <w:szCs w:val="24"/>
          <w:rtl/>
        </w:rPr>
        <w:t xml:space="preserve"> [פורסם במאגרים המקוונים], 18/3/2021,  שם אף אושרה פסיקת מזונות בסך 2,450 ₪ לקטין</w:t>
      </w:r>
      <w:r w:rsidRPr="009A34AD">
        <w:rPr>
          <w:rFonts w:ascii="Arial" w:eastAsia="Times New Roman" w:hAnsi="Arial" w:cs="David"/>
          <w:sz w:val="24"/>
          <w:szCs w:val="24"/>
        </w:rPr>
        <w:t>;</w:t>
      </w:r>
      <w:r w:rsidRPr="009A34AD">
        <w:rPr>
          <w:rFonts w:ascii="Arial" w:eastAsia="Times New Roman" w:hAnsi="Arial" w:cs="David"/>
          <w:sz w:val="24"/>
          <w:szCs w:val="24"/>
          <w:rtl/>
        </w:rPr>
        <w:t xml:space="preserve"> וכן עמ"ש (מרכז)</w:t>
      </w:r>
      <w:r w:rsidRPr="009A34AD">
        <w:rPr>
          <w:rFonts w:ascii="Arial" w:eastAsia="Times New Roman" w:hAnsi="Arial" w:cs="David"/>
          <w:sz w:val="24"/>
          <w:szCs w:val="24"/>
        </w:rPr>
        <w:t xml:space="preserve"> </w:t>
      </w:r>
      <w:r w:rsidRPr="009A34AD">
        <w:rPr>
          <w:rFonts w:ascii="Arial" w:eastAsia="Times New Roman" w:hAnsi="Arial" w:cs="David"/>
          <w:sz w:val="24"/>
          <w:szCs w:val="24"/>
          <w:rtl/>
        </w:rPr>
        <w:t xml:space="preserve"> 66692-11-19 </w:t>
      </w:r>
      <w:r w:rsidRPr="009A34AD">
        <w:rPr>
          <w:rFonts w:ascii="Arial" w:eastAsia="Times New Roman" w:hAnsi="Arial" w:cs="David"/>
          <w:b/>
          <w:bCs/>
          <w:sz w:val="24"/>
          <w:szCs w:val="24"/>
          <w:rtl/>
        </w:rPr>
        <w:t xml:space="preserve">ס. .נ' ס. </w:t>
      </w:r>
      <w:r w:rsidRPr="009A34AD">
        <w:rPr>
          <w:rFonts w:ascii="Arial" w:eastAsia="Times New Roman" w:hAnsi="Arial" w:cs="David"/>
          <w:b/>
          <w:bCs/>
          <w:sz w:val="24"/>
          <w:szCs w:val="24"/>
        </w:rPr>
        <w:t xml:space="preserve"> </w:t>
      </w:r>
      <w:r w:rsidRPr="009A34AD">
        <w:rPr>
          <w:rFonts w:ascii="Arial" w:eastAsia="Times New Roman" w:hAnsi="Arial" w:cs="David"/>
          <w:sz w:val="24"/>
          <w:szCs w:val="24"/>
          <w:rtl/>
        </w:rPr>
        <w:t>(פורסם במאגרים המקוונים), 22.09.2020)</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spacing w:after="240" w:line="360" w:lineRule="auto"/>
        <w:ind w:left="425"/>
        <w:contextualSpacing/>
        <w:jc w:val="both"/>
        <w:rPr>
          <w:rFonts w:ascii="David" w:eastAsia="Times New Roman" w:hAnsi="David" w:cs="David"/>
          <w:sz w:val="24"/>
          <w:szCs w:val="24"/>
        </w:rPr>
      </w:pPr>
      <w:r w:rsidRPr="009A34AD">
        <w:rPr>
          <w:rFonts w:ascii="David" w:eastAsia="Times New Roman" w:hAnsi="David" w:cs="David"/>
          <w:sz w:val="24"/>
          <w:szCs w:val="24"/>
          <w:rtl/>
        </w:rPr>
        <w:lastRenderedPageBreak/>
        <w:t xml:space="preserve">בצד כל זאת, בעת קביעת דמי המזונות, יש להביא בחשבון את הסכום שיוותר לאב לקיומו שלו ולסיפוק צרכיו ההכרחיים. פסיקת בית המשפט העליון אישרה פסקי דין שהותירו לאבות פחות מ-2,000 ₪ לקיומם שלהם (ראה: בע"מ 1715/07 פלוני נ' פלונית ואח', פורסם במאגרים המקוונים). עוד נפסק כי הסכום הנפסק למספר ילדים, אינו בהכרח תוצאה אריתמטית של הסכום לילד אחד במכפלת מספר הילדים (ראה: ע"א 552/87 יהודית ורד נ' מרדכי ורד, (3/10/1988), פ"ד מב(3) 599, 601, תמ"ש (ב"ש) 8780/06 ב.ע נ' ב. ד , פורסם במאגרים המקוונים)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spacing w:after="0" w:line="240" w:lineRule="auto"/>
        <w:ind w:left="720"/>
        <w:contextualSpacing/>
        <w:rPr>
          <w:rFonts w:ascii="David" w:eastAsia="Times New Roman" w:hAnsi="David" w:cs="David"/>
          <w:sz w:val="24"/>
          <w:szCs w:val="24"/>
          <w:rtl/>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sz w:val="24"/>
          <w:szCs w:val="24"/>
          <w:rtl/>
        </w:rPr>
      </w:pPr>
      <w:r w:rsidRPr="009A34AD">
        <w:rPr>
          <w:rFonts w:ascii="David" w:eastAsia="Times New Roman" w:hAnsi="David" w:cs="David"/>
          <w:sz w:val="24"/>
          <w:szCs w:val="24"/>
          <w:rtl/>
        </w:rPr>
        <w:t>בקביעת צרכיהם כפי רמת חיים נאותה אליה הורגלו ולגביהם, צריך ביהמ"ש לשקול בין יתר שיקוליו גם את השתכרותה של האם וגם את השתכרותו של האב (בע"מ 5750/03 אוחנה נ' אוחנה, [פורסם במאגרים המקוונים]; בע"מ 2433/04 צינובוי נ' צינובוי [פורסם במאגרים המקוונים] ע"א 180/80 תמיר נ' תמיר, פ"ד לד(4) 499 (1980), ע"א 302/80 אגלזיאס נ' אגלזיאס, פ"ד לד(4)529 (1980).</w:t>
      </w:r>
    </w:p>
    <w:p w:rsidR="009A34AD" w:rsidRPr="009A34AD" w:rsidRDefault="009A34AD" w:rsidP="009A34AD">
      <w:pPr>
        <w:spacing w:after="240" w:line="360" w:lineRule="auto"/>
        <w:ind w:left="720"/>
        <w:contextualSpacing/>
        <w:jc w:val="both"/>
        <w:rPr>
          <w:rFonts w:ascii="David" w:eastAsia="Times New Roman" w:hAnsi="David" w:cs="David"/>
          <w:sz w:val="24"/>
          <w:szCs w:val="24"/>
        </w:rPr>
      </w:pPr>
    </w:p>
    <w:p w:rsidR="009A34AD" w:rsidRPr="009A34AD" w:rsidRDefault="009A34AD" w:rsidP="009A34AD">
      <w:pPr>
        <w:spacing w:after="240" w:line="360" w:lineRule="auto"/>
        <w:ind w:left="720"/>
        <w:contextualSpacing/>
        <w:jc w:val="both"/>
        <w:rPr>
          <w:rFonts w:ascii="David" w:eastAsia="Times New Roman" w:hAnsi="David" w:cs="David"/>
          <w:sz w:val="24"/>
          <w:szCs w:val="24"/>
          <w:rtl/>
        </w:rPr>
      </w:pPr>
    </w:p>
    <w:p w:rsidR="009A34AD" w:rsidRPr="009A34AD" w:rsidRDefault="009A34AD" w:rsidP="009A34AD">
      <w:pPr>
        <w:spacing w:after="240" w:line="360" w:lineRule="auto"/>
        <w:contextualSpacing/>
        <w:jc w:val="both"/>
        <w:rPr>
          <w:rFonts w:ascii="David" w:eastAsia="Times New Roman" w:hAnsi="David" w:cs="David"/>
          <w:b/>
          <w:bCs/>
          <w:sz w:val="24"/>
          <w:szCs w:val="24"/>
          <w:u w:val="single"/>
        </w:rPr>
      </w:pPr>
      <w:r w:rsidRPr="009A34AD">
        <w:rPr>
          <w:rFonts w:ascii="David" w:eastAsia="Times New Roman" w:hAnsi="David" w:cs="David"/>
          <w:b/>
          <w:bCs/>
          <w:sz w:val="24"/>
          <w:szCs w:val="24"/>
          <w:u w:val="single"/>
          <w:rtl/>
        </w:rPr>
        <w:t>מן הכלל אל הפרט</w:t>
      </w:r>
    </w:p>
    <w:p w:rsidR="009A34AD" w:rsidRPr="009A34AD" w:rsidRDefault="009A34AD" w:rsidP="009A34AD">
      <w:pPr>
        <w:spacing w:after="240" w:line="360" w:lineRule="auto"/>
        <w:contextualSpacing/>
        <w:jc w:val="both"/>
        <w:rPr>
          <w:rFonts w:ascii="David" w:eastAsia="Times New Roman" w:hAnsi="David" w:cs="David"/>
          <w:b/>
          <w:bCs/>
          <w:sz w:val="24"/>
          <w:szCs w:val="24"/>
          <w:u w:val="single"/>
          <w:rtl/>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בשלב זה ניתן פסק הדין, הקטינים כבר חצו את גיל 6 ובהתאמה לאמור יידונו חיוביהם. </w:t>
      </w:r>
    </w:p>
    <w:p w:rsidR="009A34AD" w:rsidRPr="009A34AD" w:rsidRDefault="009A34AD" w:rsidP="009A34AD">
      <w:pPr>
        <w:spacing w:after="240" w:line="360" w:lineRule="auto"/>
        <w:ind w:left="337"/>
        <w:contextualSpacing/>
        <w:jc w:val="both"/>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Pr>
      </w:pPr>
      <w:r w:rsidRPr="009A34AD">
        <w:rPr>
          <w:rFonts w:ascii="David" w:eastAsia="Times New Roman" w:hAnsi="David" w:cs="David"/>
          <w:sz w:val="24"/>
          <w:szCs w:val="24"/>
          <w:rtl/>
        </w:rPr>
        <w:t xml:space="preserve">בין הצדדים 2 מחלוקות עיקריות. הראשונה וזו שתוכרע תחילה היא שיעור הוצאות הקטינים. השנייה היא פערי ההשתכרות.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טענה התובעת וחזרה על כך לאורך ניהול ההליך מתחילתו ועד סיכומיו, כי הנתבע היה המפרנס היחיד וכי הוצאות התא המשפחתי הסתכמו בסך של כ – 35,000 ₪. לטובת האמור הציגה התובעת אסמכתאות המעידות על משיכות, גם במזומן, שנדרשו לטובת מימון הוצאות המשפחה, הוצאות בכרטיס אשראי ותדפיסי תנועות חשבון בנק. הנתבע טען כי התובעת מערבת הוצאות עסקיות עם הוצאות פרטיות עת בזמן שסייעה היא בניהול העסק, היא זו שניהלה את המערכת החשבונאית גם מול רואה החשבון שטיפל בענייניו ובהתאמה לכך גם עשתה עירוב של הוצאות. עם זאת מאשר הנתבע בפה מלא כי מימן את מלוא הוצאות התא המשפחתי, הן את דמי השכירות והן את הוצאות הקטינים. כך גם מימן את הוצאות הצהרון של הקטינים עד לביטול רישומם.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אזכיר כי התובעת לא צירפה תצהיר עדות ראשית מאוחר לדיון המקדמי ולהחלטתי מיום 17.4.2023 הקובעת את המזונות הזמניים של הקטינים תוך שהיא מבקשת לראות בתצהיר שצורף לכתב התביעה והאמור בכתב התביעה כתצהיר עדות ראשית.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lastRenderedPageBreak/>
        <w:t xml:space="preserve">בהתאם לפסיקה העניפה וכפי שגם הובאה לעיל, עת לא הוכחו הוצאות הקטינים באופן שונה מהמקובל בפסיקה וכפי שקבעתי עוד בהחלטה מיום 17.4.2023 אני מעמידה את הצרכים של הקטינים אשר אינם דורשים הוכחה על סך של 1,700 ₪ לכל קטין. אלו כוללים את המזונות תלויי השהות ושאינם תלויי שהות של כל קטין.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בנוסף ישנן הוצאות מדור ואחזקתו. הנתבע אישר והעיד כי בזמן קשר הנישואין עם התובעת הוא זה שנשא בהוצאות דמי השכירות ואחזקת המדור. לתובעת דמי שכירות בסך של 5,100 ₪ לחודש בהתאם להסכם השכירות כאשר בפועל דמי השכירות שולמו על סך של 4,800 ₪ בשל הנחה שקיבלו מבעל הנכס. עוד ציינה התובעת כי הוצאות אחזקת המדור מסתכמות בסך של כ- 4,215 ₪ מתוכם למשל 550 ₪ הם שירותי וטרינריה, 100 ₪ עבור ביטוח ו – 1,400 ₪ עבור תיקונים ומוצרי חשמל. לא כל ההוצאות הנטענות הן הוצאות אחזקת מדור לטעמי. על כן אני מעריכה את הוצאות המדור ואחזקתו, כפי שיעורם של הקטינים, שיעור של 40% מסך ההוצאות, בסך של 2,900 ₪ עבור שני הקטינים יחדיו (מתוך זה 860 ₪ הם הוצאות אחזקת המדור של הקטינים).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בצד הוצאות המדור של התובעת יש לזכור כי גם הנתבע טען כי נדרש למדור הגם שנכון לעתה טען כי מתגורר בבית אמו, עם זאת לא הוכיח תשלום עבור הוצאות מגוריו. לעניין זה העיד הנתבע כי הדירה אליה עבר, הדירה שנטען כי היא של אמו, היא דירה שהייתה בבעלות הנתבע והועברה הבעלות בה לפני הנישואים לתובעת על שם הוריו. בנסיבות אלו ובהעדר אסמכתאות על הוצאות מדור או אחזקתו אין אני מייחסת לאב הוצאות בעניין זה. </w:t>
      </w:r>
    </w:p>
    <w:p w:rsidR="009A34AD" w:rsidRPr="009A34AD" w:rsidRDefault="009A34AD" w:rsidP="009A34AD">
      <w:pPr>
        <w:spacing w:after="0" w:line="240" w:lineRule="auto"/>
        <w:rPr>
          <w:rFonts w:ascii="David" w:eastAsia="Times New Roman" w:hAnsi="David" w:cs="David"/>
          <w:b/>
          <w:bCs/>
          <w:sz w:val="24"/>
          <w:szCs w:val="24"/>
          <w:u w:val="single"/>
        </w:rPr>
      </w:pPr>
    </w:p>
    <w:p w:rsidR="009A34AD" w:rsidRPr="009A34AD" w:rsidRDefault="009A34AD" w:rsidP="009A34AD">
      <w:pPr>
        <w:spacing w:after="0" w:line="240" w:lineRule="auto"/>
        <w:rPr>
          <w:rFonts w:ascii="David" w:eastAsia="Times New Roman" w:hAnsi="David" w:cs="David"/>
          <w:b/>
          <w:bCs/>
          <w:sz w:val="24"/>
          <w:szCs w:val="24"/>
          <w:u w:val="single"/>
          <w:rtl/>
        </w:rPr>
      </w:pPr>
      <w:r w:rsidRPr="009A34AD">
        <w:rPr>
          <w:rFonts w:ascii="David" w:eastAsia="Times New Roman" w:hAnsi="David" w:cs="David"/>
          <w:b/>
          <w:bCs/>
          <w:sz w:val="24"/>
          <w:szCs w:val="24"/>
          <w:u w:val="single"/>
          <w:rtl/>
        </w:rPr>
        <w:t>זמני שהות :</w:t>
      </w:r>
    </w:p>
    <w:p w:rsidR="009A34AD" w:rsidRPr="009A34AD" w:rsidRDefault="009A34AD" w:rsidP="009A34AD">
      <w:pPr>
        <w:spacing w:after="0" w:line="240" w:lineRule="auto"/>
        <w:rPr>
          <w:rFonts w:ascii="David" w:eastAsia="Times New Roman" w:hAnsi="David" w:cs="David"/>
          <w:b/>
          <w:bCs/>
          <w:sz w:val="24"/>
          <w:szCs w:val="24"/>
          <w:u w:val="single"/>
          <w:rtl/>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הצדדים חלוקים בשאלת זמני השהות כאשר מחד מציג האב את המלצות התסקיר בעוד האם מציגה החלטת בית הדין הרבני הנכבד. נכון לעתה זמני השהות המחייבים הם כפי הוראות בית הדין הרבני הנכבד ובהתאמה לכך גם נפסקים חיובי המזונות. מה גם שהפערים בין אלו ואלו אינם משמעותיים המצדיקים בחינה דקדקנית מספרית. </w:t>
      </w:r>
    </w:p>
    <w:p w:rsidR="009A34AD" w:rsidRPr="009A34AD" w:rsidRDefault="009A34AD" w:rsidP="009A34AD">
      <w:pPr>
        <w:spacing w:after="240" w:line="360" w:lineRule="auto"/>
        <w:ind w:left="337"/>
        <w:contextualSpacing/>
        <w:jc w:val="both"/>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Pr>
      </w:pPr>
      <w:r w:rsidRPr="009A34AD">
        <w:rPr>
          <w:rFonts w:ascii="David" w:eastAsia="Times New Roman" w:hAnsi="David" w:cs="David"/>
          <w:sz w:val="24"/>
          <w:szCs w:val="24"/>
          <w:rtl/>
        </w:rPr>
        <w:t xml:space="preserve">על כן חישוב המזונות נעשה בהתאם להוראות בית הדין הרבני. </w:t>
      </w:r>
    </w:p>
    <w:p w:rsidR="009A34AD" w:rsidRPr="009A34AD" w:rsidRDefault="009A34AD" w:rsidP="009A34AD">
      <w:pPr>
        <w:spacing w:after="0" w:line="240" w:lineRule="auto"/>
        <w:rPr>
          <w:rFonts w:ascii="David" w:eastAsia="Times New Roman" w:hAnsi="David" w:cs="David"/>
          <w:sz w:val="24"/>
          <w:szCs w:val="24"/>
        </w:rPr>
      </w:pPr>
    </w:p>
    <w:p w:rsidR="009A34AD" w:rsidRPr="009A34AD" w:rsidRDefault="009A34AD" w:rsidP="009A34AD">
      <w:pPr>
        <w:spacing w:after="0" w:line="240" w:lineRule="auto"/>
        <w:rPr>
          <w:rFonts w:ascii="David" w:eastAsia="Times New Roman" w:hAnsi="David" w:cs="David"/>
          <w:b/>
          <w:bCs/>
          <w:sz w:val="24"/>
          <w:szCs w:val="24"/>
          <w:u w:val="single"/>
          <w:rtl/>
        </w:rPr>
      </w:pPr>
      <w:r w:rsidRPr="009A34AD">
        <w:rPr>
          <w:rFonts w:ascii="David" w:eastAsia="Times New Roman" w:hAnsi="David" w:cs="David"/>
          <w:b/>
          <w:bCs/>
          <w:sz w:val="24"/>
          <w:szCs w:val="24"/>
          <w:u w:val="single"/>
          <w:rtl/>
        </w:rPr>
        <w:t>פערי השתכרות:</w:t>
      </w:r>
    </w:p>
    <w:p w:rsidR="009A34AD" w:rsidRPr="009A34AD" w:rsidRDefault="009A34AD" w:rsidP="009A34AD">
      <w:pPr>
        <w:spacing w:after="0" w:line="240" w:lineRule="auto"/>
        <w:rPr>
          <w:rFonts w:ascii="David" w:eastAsia="Times New Roman" w:hAnsi="David" w:cs="David"/>
          <w:b/>
          <w:bCs/>
          <w:sz w:val="24"/>
          <w:szCs w:val="24"/>
          <w:u w:val="single"/>
          <w:rtl/>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Pr>
      </w:pPr>
      <w:r w:rsidRPr="009A34AD">
        <w:rPr>
          <w:rFonts w:ascii="David" w:eastAsia="Times New Roman" w:hAnsi="David" w:cs="David"/>
          <w:sz w:val="24"/>
          <w:szCs w:val="24"/>
          <w:rtl/>
        </w:rPr>
        <w:t xml:space="preserve">המחלוקת העיקרית בין הצדדים היא בזיקה לפערי ההכנסות ביניהם ולפערי פוטנציאל כושר ההשתכרות. </w:t>
      </w:r>
    </w:p>
    <w:p w:rsidR="009A34AD" w:rsidRPr="009A34AD" w:rsidRDefault="009A34AD" w:rsidP="009A34AD">
      <w:pPr>
        <w:spacing w:after="240" w:line="360" w:lineRule="auto"/>
        <w:ind w:left="337"/>
        <w:contextualSpacing/>
        <w:jc w:val="both"/>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Pr>
      </w:pPr>
      <w:r w:rsidRPr="009A34AD">
        <w:rPr>
          <w:rFonts w:ascii="David" w:eastAsia="Times New Roman" w:hAnsi="David" w:cs="David"/>
          <w:sz w:val="24"/>
          <w:szCs w:val="24"/>
          <w:rtl/>
        </w:rPr>
        <w:lastRenderedPageBreak/>
        <w:t>לטענת הנתבע, הפריזה התובעת בהיקף ההכנסות שהיא מייחסת לו בסך של כ – 45,000 ₪ לחודש כאשר מוסיף הוא שלתובעת פוטנציאל השתכרות והיא אף משתכרת בפועל שיעור העולה על זה הנטען על ידה, שיעור שנטען רק לקראת תום ההליך בסך של כ – 1,258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התובעת בסיכומיה עומדת על טענתה כי נעדרת היא הכנסות למעט מעבודות מזדמנות וכי לנתבע הכנסה בשיעור משמעותי תוך שמפנה היא לעדותו כי לאחר תשלום הוצאות הבית בסך של 35,000 ₪ נותרים בידיו סכומים של כ – 10,000 ₪ מדי חודש.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הואיל וזוהי המחלוקת העיקרית שבין הצדדים, אקדיש את הפרק דנן ובהרחבה להכרעה באמור.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לא מצאתי לקבל את גרסת הנתבע כי אין לו יכולת השתכרות כפי הנטען על ידי התובעת. ראשית מאשר הנתבע כי התובעת היא זו שניהלה את העסק, עמדה בקשר עם רו"ח ודאגה לרישומי הכנסות והוצאות העסק. כך הוא גם חוזר בסיכומיו על הטענה כי לאחר הפרידה החל הוא לעשות את הרישומים ודאג כי אלו יהיו מסודרים (ראו סעיפים 27 ו – 29 לסיכומיו).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אני מוצאת להתייחס גם להיקף הכנסות התא המשפחתי במהלך קשר הנישואין. אין מחלוקת בין הצדדים כי במהלך קשר הנישואין הוצאות התא המשפחתי היו מוטלות על האב והוא זה שנשא בהן בפועל. על כך הוא העיד בעצמו ואישר זאת בסיכומיו. הוא זה שאישר כי נשא בהוצאות דמי השכירות ובהוצאות הצהרון של הקטינים במלואם. כך גם אישר כי התובעת סייעה בניהול העסק ללא שהצביע על הכנסותיה מעיסוק זה מעבר להכנסות העסק שהוא מנהל ונותר מנהל גם כיום לאחר הפרידה. אם כך גם אם אתייחס לעיסוקה של האם כמי שהייתה מנהלת העסק של הנתבע, הרי הכנסות העסק היו ונותרו על שם הנתבע ואין הכנסות אחרות בהקשר זה.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עוד לעניין זה, לא מצאתי לקבל את גרסת הנתבע כי דווקא לאחר הפרידה אין לראות בו כמי שלא יכול לממן את הוצאות הקטינים, הוצאות המדור והוצאות הצהרון בדומה למצב שהיה לפני הפרידה שכן העסק, שהניב את ההכנסות של התא המשפחתי, נותר אותו העסק. עדותו של הנתבע בהקשר זה הייתה רציפה ועקבית כי העסק שלו הוא זה שמימן לבד את הוצאות התא המשפחתי ללא שהתעניין אם בכלל יש לתובעת הכנסות משלה, גם לו הייתי מקבלת את הגרסה כי לנתבעת הכנסות מהעסק של אחותה (ראו עדותו של הנתבע בשורות 20-27 עמוד 107 לפרוטוקול מיום 7.12.2022).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ויש להדגיש, כי העסק של הנתבע הוא למעשה </w:t>
      </w:r>
      <w:r>
        <w:rPr>
          <w:rFonts w:ascii="David" w:eastAsia="Times New Roman" w:hAnsi="David" w:cs="David" w:hint="cs"/>
          <w:sz w:val="24"/>
          <w:szCs w:val="24"/>
          <w:rtl/>
        </w:rPr>
        <w:t>......</w:t>
      </w:r>
      <w:r w:rsidRPr="009A34AD">
        <w:rPr>
          <w:rFonts w:ascii="David" w:eastAsia="Times New Roman" w:hAnsi="David" w:cs="David"/>
          <w:sz w:val="24"/>
          <w:szCs w:val="24"/>
          <w:rtl/>
        </w:rPr>
        <w:t xml:space="preserve"> שלימים בחר הנתבע להרחיבה. אמנם ביקש הנתבע להציג תמונה כי נאלץ להרחיב את מבנה העסק, לא בשל היותו מניב רווחים המחייבים זאת, אלא בשל העובדה כי לולא פעל להרחבת מבנה העסק עצמו, היה נאלץ לסבול מ"תחרות מבית" ובאמירה זו כיוון הוא לעסק של אחות של התובעת שביקשה היא עצמה לפתוח את העסק שלה ולנהל אותו בצמידות לעסק של הנתבע ולהוות לו תחרות.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לבקשת הנתבע זומן, מר </w:t>
      </w:r>
      <w:r>
        <w:rPr>
          <w:rFonts w:ascii="David" w:eastAsia="Times New Roman" w:hAnsi="David" w:cs="David" w:hint="cs"/>
          <w:sz w:val="24"/>
          <w:szCs w:val="24"/>
          <w:rtl/>
        </w:rPr>
        <w:t>....</w:t>
      </w:r>
      <w:r w:rsidRPr="009A34AD">
        <w:rPr>
          <w:rFonts w:ascii="David" w:eastAsia="Times New Roman" w:hAnsi="David" w:cs="David"/>
          <w:sz w:val="24"/>
          <w:szCs w:val="24"/>
          <w:rtl/>
        </w:rPr>
        <w:t xml:space="preserve"> יועץ המס שטיפל הן בעסק של הנתבע והן בעסק של האחות של התובעת (להלן "יועץ המס"). על אף שעסקינן בבקשת הנתבע, זה מצא כי עדותו לא תשרת אותו וביקשה באת כוחו עוד בפתח הדיון להכריז עליו כעד עוין. במהלך חקירתו של העד על ידי באת כוח התובעת, ביקשה זו להראות את היעדר המעורבות של התובעת בניהול העסק של אחותה בעוד שבזיקה לעסק של הנתבע, דיווחיו בדבר הכנסות אינן מדויקות.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לעניין שיעור ההכנסות הצפויות מהעסק העיד יועץ המס כך:</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spacing w:after="240" w:line="360" w:lineRule="auto"/>
        <w:ind w:left="850" w:right="567"/>
        <w:contextualSpacing/>
        <w:jc w:val="both"/>
        <w:rPr>
          <w:rFonts w:ascii="Miriam" w:eastAsia="Times New Roman" w:hAnsi="Miriam" w:cs="Miriam"/>
          <w:sz w:val="24"/>
          <w:szCs w:val="24"/>
          <w:rtl/>
        </w:rPr>
      </w:pPr>
      <w:r w:rsidRPr="009A34AD">
        <w:rPr>
          <w:rFonts w:ascii="Miriam" w:eastAsia="Times New Roman" w:hAnsi="Miriam" w:cs="Miriam"/>
          <w:sz w:val="24"/>
          <w:szCs w:val="24"/>
          <w:rtl/>
        </w:rPr>
        <w:t xml:space="preserve">"עו"ד </w:t>
      </w:r>
      <w:r>
        <w:rPr>
          <w:rFonts w:ascii="Miriam" w:eastAsia="Times New Roman" w:hAnsi="Miriam" w:cs="Miriam" w:hint="cs"/>
          <w:sz w:val="24"/>
          <w:szCs w:val="24"/>
          <w:rtl/>
        </w:rPr>
        <w:t>......</w:t>
      </w:r>
      <w:r w:rsidRPr="009A34AD">
        <w:rPr>
          <w:rFonts w:ascii="Miriam" w:eastAsia="Times New Roman" w:hAnsi="Miriam" w:cs="Miriam"/>
          <w:sz w:val="24"/>
          <w:szCs w:val="24"/>
          <w:rtl/>
        </w:rPr>
        <w:t>: בהכירך עסקים דומים לעסק הזה, מבחינת מיקום, מהות העסק, מה הוא מוכר וכולי. מה נתח הרווחים בדרך כלל בעסק כזה, בהתחשב במיקום כמובן? בעיר.</w:t>
      </w:r>
    </w:p>
    <w:p w:rsidR="009A34AD" w:rsidRPr="009A34AD" w:rsidRDefault="009A34AD" w:rsidP="009A34AD">
      <w:pPr>
        <w:spacing w:after="240" w:line="360" w:lineRule="auto"/>
        <w:ind w:left="850" w:right="567"/>
        <w:contextualSpacing/>
        <w:jc w:val="both"/>
        <w:rPr>
          <w:rFonts w:ascii="Miriam" w:eastAsia="Times New Roman" w:hAnsi="Miriam" w:cs="Miriam"/>
          <w:sz w:val="24"/>
          <w:szCs w:val="24"/>
          <w:rtl/>
        </w:rPr>
      </w:pPr>
      <w:r w:rsidRPr="009A34AD">
        <w:rPr>
          <w:rFonts w:ascii="Miriam" w:eastAsia="Times New Roman" w:hAnsi="Miriam" w:cs="Miriam"/>
          <w:sz w:val="24"/>
          <w:szCs w:val="24"/>
          <w:rtl/>
        </w:rPr>
        <w:t xml:space="preserve">העד, מר </w:t>
      </w:r>
      <w:r>
        <w:rPr>
          <w:rFonts w:ascii="Miriam" w:eastAsia="Times New Roman" w:hAnsi="Miriam" w:cs="Miriam" w:hint="cs"/>
          <w:sz w:val="24"/>
          <w:szCs w:val="24"/>
          <w:rtl/>
        </w:rPr>
        <w:t>.....</w:t>
      </w:r>
      <w:r w:rsidRPr="009A34AD">
        <w:rPr>
          <w:rFonts w:ascii="Miriam" w:eastAsia="Times New Roman" w:hAnsi="Miriam" w:cs="Miriam"/>
          <w:sz w:val="24"/>
          <w:szCs w:val="24"/>
          <w:rtl/>
        </w:rPr>
        <w:t>:  בדרך כלל רווח גולמי זה בין 13 אחוזים ל – 17 אחוזים. 16 אחוזים. בערך. 18. אבל יש לזה הרבה משתנים, (...)</w:t>
      </w:r>
    </w:p>
    <w:p w:rsidR="009A34AD" w:rsidRPr="009A34AD" w:rsidRDefault="009A34AD" w:rsidP="009A34AD">
      <w:pPr>
        <w:spacing w:after="240" w:line="360" w:lineRule="auto"/>
        <w:ind w:left="850" w:right="567"/>
        <w:contextualSpacing/>
        <w:jc w:val="both"/>
        <w:rPr>
          <w:rFonts w:ascii="Miriam" w:eastAsia="Times New Roman" w:hAnsi="Miriam" w:cs="Miriam"/>
          <w:sz w:val="24"/>
          <w:szCs w:val="24"/>
          <w:rtl/>
        </w:rPr>
      </w:pPr>
      <w:r w:rsidRPr="009A34AD">
        <w:rPr>
          <w:rFonts w:ascii="Miriam" w:eastAsia="Times New Roman" w:hAnsi="Miriam" w:cs="Miriam"/>
          <w:sz w:val="24"/>
          <w:szCs w:val="24"/>
          <w:rtl/>
        </w:rPr>
        <w:t>[...]</w:t>
      </w:r>
    </w:p>
    <w:p w:rsidR="009A34AD" w:rsidRPr="009A34AD" w:rsidRDefault="009A34AD" w:rsidP="009A34AD">
      <w:pPr>
        <w:spacing w:after="240" w:line="360" w:lineRule="auto"/>
        <w:ind w:left="850" w:right="567"/>
        <w:contextualSpacing/>
        <w:jc w:val="both"/>
        <w:rPr>
          <w:rFonts w:ascii="Miriam" w:eastAsia="Times New Roman" w:hAnsi="Miriam" w:cs="Miriam"/>
          <w:sz w:val="24"/>
          <w:szCs w:val="24"/>
          <w:rtl/>
        </w:rPr>
      </w:pPr>
      <w:r w:rsidRPr="009A34AD">
        <w:rPr>
          <w:rFonts w:ascii="Miriam" w:eastAsia="Times New Roman" w:hAnsi="Miriam" w:cs="Miriam"/>
          <w:sz w:val="24"/>
          <w:szCs w:val="24"/>
          <w:rtl/>
        </w:rPr>
        <w:t>יש משתנים. שונה. יכול להיות שנה אחת שקרה משהו בעסק כמו גניבות, וזה משנה את אחוז הרווח ובשנה אחת הוא עשה מבצעים וחיסל והוריד מחירים. זה לא משהו קבוע...</w:t>
      </w:r>
    </w:p>
    <w:p w:rsidR="009A34AD" w:rsidRPr="009A34AD" w:rsidRDefault="009A34AD" w:rsidP="009A34AD">
      <w:pPr>
        <w:spacing w:after="240" w:line="360" w:lineRule="auto"/>
        <w:ind w:left="850" w:right="567"/>
        <w:contextualSpacing/>
        <w:jc w:val="both"/>
        <w:rPr>
          <w:rFonts w:ascii="Miriam" w:eastAsia="Times New Roman" w:hAnsi="Miriam" w:cs="Miriam"/>
          <w:sz w:val="24"/>
          <w:szCs w:val="24"/>
          <w:rtl/>
        </w:rPr>
      </w:pPr>
      <w:r w:rsidRPr="009A34AD">
        <w:rPr>
          <w:rFonts w:ascii="Miriam" w:eastAsia="Times New Roman" w:hAnsi="Miriam" w:cs="Miriam"/>
          <w:sz w:val="24"/>
          <w:szCs w:val="24"/>
          <w:rtl/>
        </w:rPr>
        <w:t>[..] "</w:t>
      </w:r>
    </w:p>
    <w:p w:rsidR="009A34AD" w:rsidRPr="009A34AD" w:rsidRDefault="009A34AD" w:rsidP="009A34AD">
      <w:pPr>
        <w:spacing w:after="0" w:line="240" w:lineRule="auto"/>
        <w:ind w:left="720"/>
        <w:contextualSpacing/>
        <w:rPr>
          <w:rFonts w:ascii="David" w:eastAsia="Times New Roman" w:hAnsi="David" w:cs="David"/>
          <w:sz w:val="24"/>
          <w:szCs w:val="24"/>
          <w:rtl/>
        </w:rPr>
      </w:pPr>
    </w:p>
    <w:p w:rsidR="009A34AD" w:rsidRPr="009A34AD" w:rsidRDefault="009A34AD" w:rsidP="009A34AD">
      <w:p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שורות 11-28 עמוד 15 לפרוטוקול מיום 7.12.2022. </w:t>
      </w:r>
    </w:p>
    <w:p w:rsidR="009A34AD" w:rsidRPr="009A34AD" w:rsidRDefault="009A34AD" w:rsidP="009A34AD">
      <w:pPr>
        <w:spacing w:after="240" w:line="360" w:lineRule="auto"/>
        <w:ind w:left="337"/>
        <w:contextualSpacing/>
        <w:jc w:val="both"/>
        <w:rPr>
          <w:rFonts w:ascii="David" w:eastAsia="Times New Roman" w:hAnsi="David" w:cs="David"/>
          <w:sz w:val="24"/>
          <w:szCs w:val="24"/>
          <w:rtl/>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Pr>
      </w:pPr>
      <w:r w:rsidRPr="009A34AD">
        <w:rPr>
          <w:rFonts w:ascii="David" w:eastAsia="Times New Roman" w:hAnsi="David" w:cs="David"/>
          <w:sz w:val="24"/>
          <w:szCs w:val="24"/>
          <w:rtl/>
        </w:rPr>
        <w:t xml:space="preserve">השיב יועץ המס לשאלות באת כוחה של התובעת בזיקה להתכתבויות בינה ובין התובעת. במסגרת עדותו זו אישר כי התובעת עמדה בקשר עמו בכל הנוגע לניהול העסק של התובע, עם זאת לא עמדה היא בקשר עמו בנוגע לעסק של אחותה, הגם שבמהלך השנים מאז נפתח העסק ונרשם עכשותפות ועד שזו הוצאה מהשותפות הייתה היא שותפה רשומה, ולכאורה היה לה עניין בעסק זה. </w:t>
      </w:r>
    </w:p>
    <w:p w:rsidR="009A34AD" w:rsidRPr="009A34AD" w:rsidRDefault="009A34AD" w:rsidP="009A34AD">
      <w:pPr>
        <w:spacing w:after="240" w:line="360" w:lineRule="auto"/>
        <w:ind w:left="337"/>
        <w:contextualSpacing/>
        <w:jc w:val="both"/>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Pr>
      </w:pPr>
      <w:r w:rsidRPr="009A34AD">
        <w:rPr>
          <w:rFonts w:ascii="David" w:eastAsia="Times New Roman" w:hAnsi="David" w:cs="David"/>
          <w:sz w:val="24"/>
          <w:szCs w:val="24"/>
          <w:rtl/>
        </w:rPr>
        <w:t xml:space="preserve">עדותו זו של יועץ המס לעניין ההתכתבויות מלמדת עניין נוסף וזה חילופי הדברים בין הצדדים בהקשר לשיעור ההכנסות המדווחות של הנתבע מהעסק. כך למשל פנה לא אחת בבקשה לברר בזיקה להחזרים כאשר ההסבר לכך הוא דיווח על סחורות ללא שמתקבלים אחוזי רווח סבירים ובפועל ישנם החזרי מס. אמנם הפנה שוב יועץ המס בעדותו לאפשרות של הוצאות העולות על הכנסות ברווח סביר בשל אפשרות של גניבה או מכירת חיסול ומבצעים (שורות 27-28 עמוד 27 לפרוטוקול מיום 7.12.2022). עם זאת הסבר שכזה לא סופק על ידי הנתבע או התובעת שעמדה איתו בקשר. בפועל ביקשה התובעת בהצגת הדברים בחקירת יועץ המס להצביע על דיווח כוזב </w:t>
      </w:r>
      <w:r w:rsidRPr="009A34AD">
        <w:rPr>
          <w:rFonts w:ascii="David" w:eastAsia="Times New Roman" w:hAnsi="David" w:cs="David"/>
          <w:sz w:val="24"/>
          <w:szCs w:val="24"/>
          <w:rtl/>
        </w:rPr>
        <w:lastRenderedPageBreak/>
        <w:t xml:space="preserve">ורישום הכנסות בשיעור נמוך מההכנסות בפועל. יועץ המס אישר בפועל כי אכן לא הייתה סבירות בין הקניות למכירות (שורה 26 עמוד 28 לפרוטוקול מיום 7.12.2022). על שיעור ההכנסות בפועל בניגוד לדיווח המוצהר העיד גם הנתבע בעצמו ואישר את הדברים בעדותו (שורות 19-26 עמוד 66 ושורות 12-16 עמוד 73 לפרוטוקול מיום 7.12.2022). אם כך יודע הנתבע היטב, שמציג הוא את הדוחות השנתיים והמאזנים, כי אין הם משקפים את ההכנסות והרווחים האמיתיים, הגם שביקש להסתמך על אלו בכתב הגנתו.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העיד יועץ המס כי אין היגיון כלכלי להרחיב את העסק ככל שאכן הוא בהפסדים כפי שביקש הנתבע להציג את הדברים (ראו עדותו שורות 1-3 עמוד 31 לפרוטוקול מיום 7.12.2022).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על כן לא מצאתי לקבל את גרסתו של הנתבע לעניין כושר השתכרותו וכי הכנסתו אינה כפי שנטען על ידי התובעת. בחקירתו אישר הנתבע כי העסק מימן את כל הוצאות התא המשפחתי ואלו כללו, כפי שגם אישר בעדותו, את ההוצאות באשראי בסך של כ – 18,000 ₪ לחודש, הוצאות שכר דירה חודשי בסך של 4,800 ₪, הוצאות אחזקת מדור שוטפות והוצאות נוספות. טען הנתבע כי כל ההוצאות "נופל כאילו על העסק שלי" (שורה 13 עמוד 69 ובכלל עדותו של הנתבע בעמודים 68 החל משורה 25 עד עמוד 72 לפרוטוקול מיום 7.12.2022). אין משנה לעניין זה האם בעסק עבד הנתבע לבדו או גם התובעת שכן הרישומים נעשו כאחד.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העיד הנתבע כי ההכנסות בפועל, גם כיום, לאחר הוצאות, גם לטובת תשלום המזונות, מסתכמות בסך של 10,000 ₪ וכפי עדותו:</w:t>
      </w:r>
    </w:p>
    <w:p w:rsidR="009A34AD" w:rsidRPr="009A34AD" w:rsidRDefault="009A34AD" w:rsidP="009A34AD">
      <w:pPr>
        <w:spacing w:after="0" w:line="240" w:lineRule="auto"/>
        <w:ind w:left="720"/>
        <w:contextualSpacing/>
        <w:rPr>
          <w:rFonts w:ascii="Miriam" w:eastAsia="Times New Roman" w:hAnsi="Miriam" w:cs="Miriam"/>
          <w:sz w:val="24"/>
          <w:szCs w:val="24"/>
        </w:rPr>
      </w:pPr>
    </w:p>
    <w:p w:rsidR="009A34AD" w:rsidRPr="009A34AD" w:rsidRDefault="009A34AD" w:rsidP="009A34AD">
      <w:pPr>
        <w:spacing w:after="240" w:line="360" w:lineRule="auto"/>
        <w:ind w:left="1440" w:right="1134"/>
        <w:contextualSpacing/>
        <w:jc w:val="both"/>
        <w:rPr>
          <w:rFonts w:ascii="Miriam" w:eastAsia="Times New Roman" w:hAnsi="Miriam" w:cs="Miriam"/>
          <w:sz w:val="24"/>
          <w:szCs w:val="24"/>
          <w:rtl/>
        </w:rPr>
      </w:pPr>
      <w:r w:rsidRPr="009A34AD">
        <w:rPr>
          <w:rFonts w:ascii="Miriam" w:eastAsia="Times New Roman" w:hAnsi="Miriam" w:cs="Miriam"/>
          <w:sz w:val="24"/>
          <w:szCs w:val="24"/>
          <w:rtl/>
        </w:rPr>
        <w:t>"ת:   (...) מה שנשאר לי בכיס, זה 10,000 ₪. "</w:t>
      </w:r>
    </w:p>
    <w:p w:rsidR="009A34AD" w:rsidRPr="009A34AD" w:rsidRDefault="009A34AD" w:rsidP="009A34AD">
      <w:pPr>
        <w:spacing w:after="240" w:line="360" w:lineRule="auto"/>
        <w:ind w:left="1440" w:right="1134"/>
        <w:contextualSpacing/>
        <w:jc w:val="both"/>
        <w:rPr>
          <w:rFonts w:ascii="Miriam" w:eastAsia="Times New Roman" w:hAnsi="Miriam" w:cs="Miriam"/>
          <w:sz w:val="24"/>
          <w:szCs w:val="24"/>
          <w:rtl/>
        </w:rPr>
      </w:pPr>
      <w:r w:rsidRPr="009A34AD">
        <w:rPr>
          <w:rFonts w:ascii="Miriam" w:eastAsia="Times New Roman" w:hAnsi="Miriam" w:cs="Miriam"/>
          <w:sz w:val="24"/>
          <w:szCs w:val="24"/>
          <w:rtl/>
        </w:rPr>
        <w:t>ש:  אה, לחיסכון?</w:t>
      </w:r>
    </w:p>
    <w:p w:rsidR="009A34AD" w:rsidRPr="009A34AD" w:rsidRDefault="009A34AD" w:rsidP="009A34AD">
      <w:pPr>
        <w:spacing w:after="240" w:line="360" w:lineRule="auto"/>
        <w:ind w:left="1440" w:right="1134"/>
        <w:contextualSpacing/>
        <w:jc w:val="both"/>
        <w:rPr>
          <w:rFonts w:ascii="Miriam" w:eastAsia="Times New Roman" w:hAnsi="Miriam" w:cs="Miriam"/>
          <w:sz w:val="24"/>
          <w:szCs w:val="24"/>
          <w:rtl/>
        </w:rPr>
      </w:pPr>
      <w:r w:rsidRPr="009A34AD">
        <w:rPr>
          <w:rFonts w:ascii="Miriam" w:eastAsia="Times New Roman" w:hAnsi="Miriam" w:cs="Miriam"/>
          <w:sz w:val="24"/>
          <w:szCs w:val="24"/>
          <w:rtl/>
        </w:rPr>
        <w:t>ת:  לא. לחיות בתור בן אדם. אני משלם אותם למזונות אם את לא יודעת. "</w:t>
      </w:r>
    </w:p>
    <w:p w:rsidR="009A34AD" w:rsidRPr="009A34AD" w:rsidRDefault="009A34AD" w:rsidP="009A34AD">
      <w:pPr>
        <w:spacing w:after="240" w:line="360" w:lineRule="auto"/>
        <w:ind w:left="1440" w:right="1134"/>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שורות 28-30 עמוד 85 לפרוטוקול הדיון מיום 7.12.2022 </w:t>
      </w:r>
    </w:p>
    <w:p w:rsidR="009A34AD" w:rsidRPr="009A34AD" w:rsidRDefault="009A34AD" w:rsidP="009A34AD">
      <w:pPr>
        <w:spacing w:after="240" w:line="360" w:lineRule="auto"/>
        <w:ind w:left="1440" w:right="1134"/>
        <w:contextualSpacing/>
        <w:jc w:val="both"/>
        <w:rPr>
          <w:rFonts w:ascii="David" w:eastAsia="Times New Roman" w:hAnsi="David" w:cs="David"/>
          <w:sz w:val="24"/>
          <w:szCs w:val="24"/>
          <w:rtl/>
        </w:rPr>
      </w:pPr>
    </w:p>
    <w:p w:rsidR="009A34AD" w:rsidRPr="009A34AD" w:rsidRDefault="009A34AD" w:rsidP="009A34AD">
      <w:pPr>
        <w:spacing w:after="240" w:line="360" w:lineRule="auto"/>
        <w:ind w:left="1440" w:right="1134"/>
        <w:contextualSpacing/>
        <w:jc w:val="both"/>
        <w:rPr>
          <w:rFonts w:ascii="David" w:eastAsia="Times New Roman" w:hAnsi="David" w:cs="David"/>
          <w:sz w:val="24"/>
          <w:szCs w:val="24"/>
          <w:rtl/>
        </w:rPr>
      </w:pPr>
      <w:r w:rsidRPr="009A34AD">
        <w:rPr>
          <w:rFonts w:ascii="David" w:eastAsia="Times New Roman" w:hAnsi="David" w:cs="David"/>
          <w:sz w:val="24"/>
          <w:szCs w:val="24"/>
          <w:rtl/>
        </w:rPr>
        <w:t>ובהמשך, לשאלה מה הכנסתו בפועל, משיב:</w:t>
      </w:r>
    </w:p>
    <w:p w:rsidR="009A34AD" w:rsidRPr="009A34AD" w:rsidRDefault="009A34AD" w:rsidP="009A34AD">
      <w:pPr>
        <w:spacing w:after="240" w:line="360" w:lineRule="auto"/>
        <w:ind w:left="1440" w:right="1134"/>
        <w:contextualSpacing/>
        <w:jc w:val="both"/>
        <w:rPr>
          <w:rFonts w:ascii="Miriam" w:eastAsia="Times New Roman" w:hAnsi="Miriam" w:cs="Miriam"/>
          <w:sz w:val="24"/>
          <w:szCs w:val="24"/>
          <w:rtl/>
        </w:rPr>
      </w:pPr>
      <w:r w:rsidRPr="009A34AD">
        <w:rPr>
          <w:rFonts w:ascii="Miriam" w:eastAsia="Times New Roman" w:hAnsi="Miriam" w:cs="Miriam"/>
          <w:sz w:val="24"/>
          <w:szCs w:val="24"/>
          <w:rtl/>
        </w:rPr>
        <w:t>כב' הש' אקוקה:  אז אדוני יגיד כמה מרוויח לחודש.</w:t>
      </w:r>
    </w:p>
    <w:p w:rsidR="009A34AD" w:rsidRPr="009A34AD" w:rsidRDefault="009A34AD" w:rsidP="009A34AD">
      <w:pPr>
        <w:spacing w:after="0" w:line="360" w:lineRule="auto"/>
        <w:ind w:left="1440" w:right="1134"/>
        <w:contextualSpacing/>
        <w:rPr>
          <w:rFonts w:ascii="Miriam" w:eastAsia="Times New Roman" w:hAnsi="Miriam" w:cs="Miriam"/>
          <w:sz w:val="24"/>
          <w:szCs w:val="24"/>
        </w:rPr>
      </w:pPr>
      <w:r w:rsidRPr="009A34AD">
        <w:rPr>
          <w:rFonts w:ascii="Miriam" w:eastAsia="Times New Roman" w:hAnsi="Miriam" w:cs="Miriam"/>
          <w:sz w:val="24"/>
          <w:szCs w:val="24"/>
          <w:rtl/>
        </w:rPr>
        <w:t>[...]</w:t>
      </w:r>
    </w:p>
    <w:p w:rsidR="009A34AD" w:rsidRPr="009A34AD" w:rsidRDefault="009A34AD" w:rsidP="009A34AD">
      <w:pPr>
        <w:spacing w:after="0" w:line="360" w:lineRule="auto"/>
        <w:ind w:left="1440" w:right="1134"/>
        <w:contextualSpacing/>
        <w:rPr>
          <w:rFonts w:ascii="Miriam" w:eastAsia="Times New Roman" w:hAnsi="Miriam" w:cs="Miriam"/>
          <w:sz w:val="24"/>
          <w:szCs w:val="24"/>
          <w:rtl/>
        </w:rPr>
      </w:pPr>
      <w:r w:rsidRPr="009A34AD">
        <w:rPr>
          <w:rFonts w:ascii="Miriam" w:eastAsia="Times New Roman" w:hAnsi="Miriam" w:cs="Miriam"/>
          <w:sz w:val="24"/>
          <w:szCs w:val="24"/>
          <w:rtl/>
        </w:rPr>
        <w:t xml:space="preserve">העד מר </w:t>
      </w:r>
      <w:r>
        <w:rPr>
          <w:rFonts w:ascii="Miriam" w:eastAsia="Times New Roman" w:hAnsi="Miriam" w:cs="Miriam" w:hint="cs"/>
          <w:sz w:val="24"/>
          <w:szCs w:val="24"/>
          <w:rtl/>
        </w:rPr>
        <w:t>..</w:t>
      </w:r>
      <w:r w:rsidRPr="009A34AD">
        <w:rPr>
          <w:rFonts w:ascii="Miriam" w:eastAsia="Times New Roman" w:hAnsi="Miriam" w:cs="Miriam"/>
          <w:sz w:val="24"/>
          <w:szCs w:val="24"/>
          <w:rtl/>
        </w:rPr>
        <w:t xml:space="preserve"> :</w:t>
      </w:r>
      <w:r w:rsidRPr="009A34AD">
        <w:rPr>
          <w:rFonts w:ascii="Miriam" w:eastAsia="Times New Roman" w:hAnsi="Miriam" w:cs="Miriam"/>
          <w:sz w:val="24"/>
          <w:szCs w:val="24"/>
          <w:rtl/>
        </w:rPr>
        <w:tab/>
        <w:t xml:space="preserve">אני, אז אני אענה. אני מרוויח 10,000 שקלים. נשאר לי בכיס אחרי שכל ההוצאות שלי, 10. </w:t>
      </w:r>
    </w:p>
    <w:p w:rsidR="009A34AD" w:rsidRPr="009A34AD" w:rsidRDefault="009A34AD" w:rsidP="009A34AD">
      <w:pPr>
        <w:spacing w:after="0" w:line="360" w:lineRule="auto"/>
        <w:ind w:left="1440" w:right="1134"/>
        <w:contextualSpacing/>
        <w:rPr>
          <w:rFonts w:ascii="Miriam" w:eastAsia="Times New Roman" w:hAnsi="Miriam" w:cs="Miriam"/>
          <w:sz w:val="24"/>
          <w:szCs w:val="24"/>
          <w:rtl/>
        </w:rPr>
      </w:pPr>
      <w:r w:rsidRPr="009A34AD">
        <w:rPr>
          <w:rFonts w:ascii="Miriam" w:eastAsia="Times New Roman" w:hAnsi="Miriam" w:cs="Miriam"/>
          <w:sz w:val="24"/>
          <w:szCs w:val="24"/>
          <w:rtl/>
        </w:rPr>
        <w:t>[...]</w:t>
      </w:r>
    </w:p>
    <w:p w:rsidR="009A34AD" w:rsidRPr="009A34AD" w:rsidRDefault="009A34AD" w:rsidP="009A34AD">
      <w:pPr>
        <w:spacing w:after="0" w:line="360" w:lineRule="auto"/>
        <w:ind w:left="1440" w:right="1134"/>
        <w:contextualSpacing/>
        <w:rPr>
          <w:rFonts w:ascii="Miriam" w:eastAsia="Times New Roman" w:hAnsi="Miriam" w:cs="Miriam"/>
          <w:sz w:val="24"/>
          <w:szCs w:val="24"/>
          <w:rtl/>
        </w:rPr>
      </w:pPr>
      <w:r w:rsidRPr="009A34AD">
        <w:rPr>
          <w:rFonts w:ascii="Miriam" w:eastAsia="Times New Roman" w:hAnsi="Miriam" w:cs="Miriam"/>
          <w:sz w:val="24"/>
          <w:szCs w:val="24"/>
          <w:rtl/>
        </w:rPr>
        <w:t xml:space="preserve">העדר, מר </w:t>
      </w:r>
      <w:r>
        <w:rPr>
          <w:rFonts w:ascii="Miriam" w:eastAsia="Times New Roman" w:hAnsi="Miriam" w:cs="Miriam" w:hint="cs"/>
          <w:sz w:val="24"/>
          <w:szCs w:val="24"/>
          <w:rtl/>
        </w:rPr>
        <w:t>...</w:t>
      </w:r>
      <w:r w:rsidRPr="009A34AD">
        <w:rPr>
          <w:rFonts w:ascii="Miriam" w:eastAsia="Times New Roman" w:hAnsi="Miriam" w:cs="Miriam"/>
          <w:sz w:val="24"/>
          <w:szCs w:val="24"/>
          <w:rtl/>
        </w:rPr>
        <w:t>':</w:t>
      </w:r>
      <w:r w:rsidRPr="009A34AD">
        <w:rPr>
          <w:rFonts w:ascii="Miriam" w:eastAsia="Times New Roman" w:hAnsi="Miriam" w:cs="Miriam"/>
          <w:sz w:val="24"/>
          <w:szCs w:val="24"/>
          <w:rtl/>
        </w:rPr>
        <w:tab/>
        <w:t>והמזל שלי שקיבלתי, אני משלם אום במזונות. נשאר לי 1,000 ל – 1,200 שקלים בכיס."</w:t>
      </w:r>
    </w:p>
    <w:p w:rsidR="009A34AD" w:rsidRPr="009A34AD" w:rsidRDefault="009A34AD" w:rsidP="009A34AD">
      <w:pPr>
        <w:spacing w:after="0" w:line="240" w:lineRule="auto"/>
        <w:ind w:left="720"/>
        <w:contextualSpacing/>
        <w:rPr>
          <w:rFonts w:ascii="David" w:eastAsia="Times New Roman" w:hAnsi="David" w:cs="David"/>
          <w:sz w:val="24"/>
          <w:szCs w:val="24"/>
          <w:rtl/>
        </w:rPr>
      </w:pPr>
      <w:r w:rsidRPr="009A34AD">
        <w:rPr>
          <w:rFonts w:ascii="David" w:eastAsia="Times New Roman" w:hAnsi="David" w:cs="David"/>
          <w:sz w:val="24"/>
          <w:szCs w:val="24"/>
          <w:rtl/>
        </w:rPr>
        <w:lastRenderedPageBreak/>
        <w:tab/>
        <w:t xml:space="preserve">ראו שורות 11-20 עמוד 86 לפרוטוקול מיום 7.12.2022. </w:t>
      </w:r>
    </w:p>
    <w:p w:rsidR="009A34AD" w:rsidRPr="009A34AD" w:rsidRDefault="009A34AD" w:rsidP="009A34AD">
      <w:pPr>
        <w:spacing w:after="0" w:line="240" w:lineRule="auto"/>
        <w:ind w:left="720"/>
        <w:contextualSpacing/>
        <w:rPr>
          <w:rFonts w:ascii="David" w:eastAsia="Times New Roman" w:hAnsi="David" w:cs="David"/>
          <w:sz w:val="24"/>
          <w:szCs w:val="24"/>
          <w:rtl/>
        </w:rPr>
      </w:pPr>
    </w:p>
    <w:p w:rsidR="009A34AD" w:rsidRPr="009A34AD" w:rsidRDefault="009A34AD" w:rsidP="009A34AD">
      <w:pPr>
        <w:spacing w:after="0" w:line="240" w:lineRule="auto"/>
        <w:ind w:left="720"/>
        <w:contextualSpacing/>
        <w:rPr>
          <w:rFonts w:ascii="David" w:eastAsia="Times New Roman" w:hAnsi="David" w:cs="David"/>
          <w:sz w:val="24"/>
          <w:szCs w:val="24"/>
          <w:rtl/>
        </w:rPr>
      </w:pPr>
      <w:r w:rsidRPr="009A34AD">
        <w:rPr>
          <w:rFonts w:ascii="David" w:eastAsia="Times New Roman" w:hAnsi="David" w:cs="David"/>
          <w:sz w:val="24"/>
          <w:szCs w:val="24"/>
          <w:rtl/>
        </w:rPr>
        <w:tab/>
      </w: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בנוסף ועל מנת ללמדני כי הדיווח הרשום אינו מלמד דבר על הכנסתו בפועל יש לעיין בתשובותיו של הנתבע לשאלות בחקירתו הנגדית בדבר רישום הוצאות וכי בפועל רושם הוא על שם העסק הוצאות פרטיות לרבות יעוץ משפטי פרטי. </w:t>
      </w:r>
    </w:p>
    <w:p w:rsidR="009A34AD" w:rsidRPr="009A34AD" w:rsidRDefault="009A34AD" w:rsidP="009A34AD">
      <w:pPr>
        <w:spacing w:after="240" w:line="360" w:lineRule="auto"/>
        <w:ind w:left="337"/>
        <w:contextualSpacing/>
        <w:jc w:val="both"/>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Pr>
      </w:pPr>
      <w:r w:rsidRPr="009A34AD">
        <w:rPr>
          <w:rFonts w:ascii="David" w:eastAsia="Times New Roman" w:hAnsi="David" w:cs="David"/>
          <w:sz w:val="24"/>
          <w:szCs w:val="24"/>
          <w:rtl/>
        </w:rPr>
        <w:t xml:space="preserve">למעשה גם לנתבע עצמו פוטנציאל כושר השתכרות בשיעור העולה על זה המדווח. ובשים לב כי בכל השנים מימן הוא לטענתו מניהול העסק את הוצאות כל התא המשפחתי לרבות דמי שכירות והוצאות הילדים, ללא שנותרו כספים לחיסכון, מקובלת עלי גרסתה של התובעת כי הכנסות הנתבע הן בגובה ההוצאות, אלו המסתכמות בסך של כ – 35,000 ₪ לחודש. בהקשר זה אציין כי טענת התובעת כי ההוצאות מסתכמות בסך של 35,000 ₪ ובהתאם לעדותו של הנתבע יש להוסיף את הסך של 10,000 ₪ שטען כי נותרו בידו מדי חודש נדחית שעה שההוצאות בסך של 35,000 ₪ כללו את הוצאות כל התא המשפחתי לרבות דמי שכירות ואחזקת המדור שנעדרות עתה מהוצאותיו החודשיות. זהו הפער שבין הצדדים בהקשר זה.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על כן הכנסתו החודשית תעמוד על שיעור של 35,000 ₪ לצורך חישוב המזונות.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ובעניינה של התובעת והכנסותיה, לא מצאתי לקבל את גרסת התובעת כי אין לה הכנסות מעבר לסך של 1,200 ₪ לחודש ועל כן יש לקבוע את מזונות הקטינים בזיקה להכנסתה זו אל מול הכנסת הנתבע כאמור בסיכומיה.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חלק לא מבוטל מהדיון התרכז בעיסוקה, שילובה או אי שילובה של התובעת בעסק של אחותה. כך התרכזו הצדדים בלנסות להוכיח כל אחד את גרסתו. עיקר הדיון בשאלה זו התרכז בעבר שכן לא מצאתי כי כיום לתובעת הכנסה מהעסק של אחותה.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דווקא התרכזותו של הנתבע לנסות ולהוכיח כי במהלך קשר הנישואין עבדה התובעת עם אחותה בעסק שהוקם על ידה, כי למעשה התובעת הייתה שותפה מלאה וניהל את העסק, מחזק את גרסתה של התובעת כי אף אם נכון הדבר, הרי הכנסות, ככל שהיו, לא הוכחו וממילא לא יכול הנתבע להצביע כי הכנסות אלו סייעו במימון הוצאות התא המשפחתי. ואם כך, בהעדר אסמכתאות המעידות על הכנסות שוטפות בפועל ומימון הוצאות התא המשפחתי ולו חלקו באמצעות הכנסות אלו, מחזק את גרסת התובעת כי גם לו היו הכנסות, הנתבע עדיין הוא זה שנשא במלוא הוצאות התא המשפחתי במהלך קשר הנישואין.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העידה אחותה של התובעת ובעניין זה עדותה מקובלת עלי כי התובעת לא הייתה מעורבת בעסק או בניהולו על אף הרישומים הפורמליים ואלו הכוללים גם רישומים ודיווחים מול רשויות המס. </w:t>
      </w:r>
      <w:r w:rsidRPr="009A34AD">
        <w:rPr>
          <w:rFonts w:ascii="David" w:eastAsia="Times New Roman" w:hAnsi="David" w:cs="David"/>
          <w:sz w:val="24"/>
          <w:szCs w:val="24"/>
          <w:rtl/>
        </w:rPr>
        <w:lastRenderedPageBreak/>
        <w:t xml:space="preserve">ממילא בשלב זה ועוד קודם שנפרדו הצדדים אין עוד נגיעה של התובעת בעסק של אחותה גם לא מבחינה פורמלית, מה גם שהעידה האחות כי כיום מדובר בעסק חדש במיקום חדש ובו מלכתחילה לא הייתה מעורבת התובעת. בהקשר זה מקובל עלי ההסבר כי לימים הוחלט להקטין את חלקה של התובעת בשותפות הרשומה עם אחותה עת לא הייתה מעורבת בעסק ואולם חלק קטן מהשותפות נותר לתקופה קצרה נוספת על מנת שלא לסבך את נושא הניהול מול רשויות כמו לטובת רישיון מפעל הפיס שניתן לשותפות.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ומעבר לכל, גם אם התובעת עבדה וגם אם לאו בעסק של אחותה, הרי לא נסתרה טענת הנתבע כי לתובעת פוטנציאל כושר השתכרות. התובעת בעלת השכלה והכשרה מקצועית הגם שלאחר הנישואין ולטובת השקעה בתוך התא המשפחתי, לרבות הרחבתו עם טיפולי הפוריות שעברה, עזבה היא את מקום עבודתה. על כישוריה המקצועיים גם בתחום הניהולי העידה התובעת בעצמה בהקשר של ניהול העסק של הנתבע. כשם שהייתה לה את היכולת לסייע בניהול העסק של הנתבע, דווקא עת הילדים היו צעירים יותר ונזקקים יותר לטיפולה של האם, אין מניעה כי תוכל התובעת למצות כישוריה אלו ולסייע בניהול עסקים אחרים כדוגמת העסק של אחותה או להשתלב בשוק העבודה בתפקידים שונים לרבות ניהוליים וזאת מעבר להכשרתה המקצועית.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אין בעובדה כי במהלך קשר הנישואין נסמכה התובעת כטענתה על הכנסות העסק של הנתבע כדי שיהיה בכך כדי לספק את צורכי התא המשפחתי כדי להצדיק את הותרת המצב על כנו כיום.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יש לזכור אף כי עסקינן בקטינים שחצו את גיל 6 ומכאן שעל פי הדין וההלכה הפסוקה, גם לאם מחויבות לשאת כפי יכולתה בהוצאות הקטינים וכפי יכולתה מכוון לא רק להכנסות בפועל אם כי גם לנכסים ולכושר השתכרות, היינו פוטנציאל כושר ההשתכרות של האם. התייחסות לפוטנציאל כושר ההשתכרות נדון בהרחבה בפסיקה בזיקה לכושר השתכרותו של האב ואולם אין הכרח לצמצם את האמור מבחינה מגדרית, וודאי לא נוכח זאת שעסקינן בקטינים מעל גיל 6. בהקשר זה ראו נא הפסיקה בבע"מ 3432/09 </w:t>
      </w:r>
      <w:r w:rsidRPr="009A34AD">
        <w:rPr>
          <w:rFonts w:ascii="David" w:eastAsia="Times New Roman" w:hAnsi="David" w:cs="David"/>
          <w:b/>
          <w:bCs/>
          <w:sz w:val="24"/>
          <w:szCs w:val="24"/>
          <w:rtl/>
        </w:rPr>
        <w:t>פלוני נ' פלונית</w:t>
      </w:r>
      <w:r w:rsidRPr="009A34AD">
        <w:rPr>
          <w:rFonts w:ascii="David" w:eastAsia="Times New Roman" w:hAnsi="David" w:cs="David"/>
          <w:sz w:val="24"/>
          <w:szCs w:val="24"/>
          <w:rtl/>
        </w:rPr>
        <w:t>, פורסם במאגרים משפטיים, 23.06.2009 וכן תמש (נצ') 1724-02-15‏</w:t>
      </w:r>
      <w:r w:rsidRPr="009A34AD">
        <w:rPr>
          <w:rFonts w:ascii="David" w:eastAsia="Times New Roman" w:hAnsi="David" w:cs="David"/>
          <w:b/>
          <w:bCs/>
          <w:sz w:val="24"/>
          <w:szCs w:val="24"/>
          <w:rtl/>
        </w:rPr>
        <w:t xml:space="preserve"> ‏ ע.ג נ' א.ג</w:t>
      </w:r>
      <w:r w:rsidRPr="009A34AD">
        <w:rPr>
          <w:rFonts w:ascii="David" w:eastAsia="Times New Roman" w:hAnsi="David" w:cs="David"/>
          <w:sz w:val="24"/>
          <w:szCs w:val="24"/>
          <w:rtl/>
        </w:rPr>
        <w:t xml:space="preserve">, פורסם במאגרים משפטיים, 10.02.2016.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אף אם יש לקבל את הטענה כי עת הקטינים היו צעירים בגיל ישנו קושי למצוא מקום עבודה חדש ולהשתלב מחדש בשוק עבודה ממנו יצאה התובעת, עתה נוכח גיל הקטינים והעובדה כי מבקשת היא כי ימשיכו את מסגרת החינוך גם בשעות הצהריים המאוחרות בצהרון לטובת העשרתם, אין מניעה כי תשתלב בשוק העבודה בשכר ההולם את כישוריה.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sz w:val="24"/>
          <w:szCs w:val="24"/>
          <w:rtl/>
        </w:rPr>
        <w:t xml:space="preserve">לאחר ששמעתי את הצדדים ארוכות בהקשר זה שוכנעתי כי לאם פוטנציאל כושר השתכרות ואני מעמידה אותו לפחות על סך של 10,000 ₪ נטו לחודש. </w:t>
      </w:r>
    </w:p>
    <w:p w:rsidR="009A34AD" w:rsidRPr="009A34AD" w:rsidRDefault="009A34AD" w:rsidP="009A34AD">
      <w:pPr>
        <w:spacing w:after="0" w:line="240" w:lineRule="auto"/>
        <w:ind w:left="720"/>
        <w:contextualSpacing/>
        <w:rPr>
          <w:rFonts w:ascii="David" w:eastAsia="Times New Roman" w:hAnsi="David" w:cs="David"/>
          <w:sz w:val="24"/>
          <w:szCs w:val="24"/>
        </w:rPr>
      </w:pPr>
    </w:p>
    <w:p w:rsidR="009A34AD" w:rsidRPr="009A34AD" w:rsidRDefault="009A34AD" w:rsidP="009A34AD">
      <w:pPr>
        <w:spacing w:after="0" w:line="240" w:lineRule="auto"/>
        <w:ind w:left="720"/>
        <w:contextualSpacing/>
        <w:rPr>
          <w:rFonts w:ascii="David" w:eastAsia="Times New Roman" w:hAnsi="David" w:cs="David"/>
          <w:sz w:val="24"/>
          <w:szCs w:val="24"/>
          <w:rtl/>
        </w:rPr>
      </w:pPr>
    </w:p>
    <w:p w:rsidR="009A34AD" w:rsidRPr="009A34AD" w:rsidRDefault="009A34AD" w:rsidP="009A34AD">
      <w:pPr>
        <w:numPr>
          <w:ilvl w:val="0"/>
          <w:numId w:val="1"/>
        </w:numPr>
        <w:spacing w:after="240" w:line="360" w:lineRule="auto"/>
        <w:ind w:left="337"/>
        <w:contextualSpacing/>
        <w:jc w:val="both"/>
        <w:rPr>
          <w:rFonts w:ascii="David" w:eastAsia="Times New Roman" w:hAnsi="David" w:cs="David"/>
          <w:sz w:val="24"/>
          <w:szCs w:val="24"/>
          <w:rtl/>
        </w:rPr>
      </w:pPr>
      <w:r w:rsidRPr="009A34AD">
        <w:rPr>
          <w:rFonts w:ascii="David" w:eastAsia="Times New Roman" w:hAnsi="David" w:cs="David"/>
          <w:b/>
          <w:bCs/>
          <w:sz w:val="24"/>
          <w:szCs w:val="24"/>
          <w:u w:val="single"/>
          <w:rtl/>
        </w:rPr>
        <w:lastRenderedPageBreak/>
        <w:t>אשר על כן ולאחר שבחנתי את התא המשפחתי הספציפי, גיל הקטינים ובשים לב מלאו להם כבר 6 שנים, כושר ההשתכרות המיוחס לכל אחד מהצדדים, היינו פערי ההשתכרות כאמור לעיל, זמני השהות וצרכי הקטינים במטרה להבטיח כי חלוקת הנטל תהיה הולמת וראויה וכאמור בהלכת בע"מ 919/15 , אני מורה כדלקמן:</w:t>
      </w:r>
    </w:p>
    <w:p w:rsidR="009A34AD" w:rsidRPr="009A34AD" w:rsidRDefault="009A34AD" w:rsidP="009A34AD">
      <w:pPr>
        <w:autoSpaceDE w:val="0"/>
        <w:autoSpaceDN w:val="0"/>
        <w:adjustRightInd w:val="0"/>
        <w:spacing w:after="240" w:line="360" w:lineRule="auto"/>
        <w:contextualSpacing/>
        <w:jc w:val="both"/>
        <w:rPr>
          <w:rFonts w:ascii="David" w:eastAsia="Times New Roman" w:hAnsi="David" w:cs="David"/>
          <w:sz w:val="24"/>
          <w:szCs w:val="24"/>
        </w:rPr>
      </w:pPr>
    </w:p>
    <w:p w:rsidR="009A34AD" w:rsidRPr="009A34AD" w:rsidRDefault="009A34AD" w:rsidP="009A34AD">
      <w:pPr>
        <w:numPr>
          <w:ilvl w:val="0"/>
          <w:numId w:val="2"/>
        </w:numPr>
        <w:tabs>
          <w:tab w:val="left" w:pos="0"/>
          <w:tab w:val="left" w:pos="141"/>
          <w:tab w:val="left" w:pos="567"/>
        </w:tabs>
        <w:spacing w:after="240" w:line="360" w:lineRule="auto"/>
        <w:contextualSpacing/>
        <w:jc w:val="both"/>
        <w:rPr>
          <w:rFonts w:ascii="David" w:eastAsia="Times New Roman" w:hAnsi="David" w:cs="David"/>
          <w:noProof/>
          <w:sz w:val="24"/>
          <w:szCs w:val="24"/>
          <w:rtl/>
        </w:rPr>
      </w:pPr>
      <w:r w:rsidRPr="009A34AD">
        <w:rPr>
          <w:rFonts w:ascii="David" w:eastAsia="Times New Roman" w:hAnsi="David" w:cs="David"/>
          <w:noProof/>
          <w:sz w:val="24"/>
          <w:szCs w:val="24"/>
          <w:rtl/>
        </w:rPr>
        <w:t xml:space="preserve">האב ישלם לידי האם מזונות עבור כל קטין סך של 1,750 ₪ לחודש לכל קטין (סה"כ סך של 3,500 ₪  לחודש עבור 2 קטינים). חיוב זה כולל גם את הוצאות המדור של הקטינים ואחזקתו. </w:t>
      </w:r>
    </w:p>
    <w:p w:rsidR="009A34AD" w:rsidRPr="009A34AD" w:rsidRDefault="009A34AD" w:rsidP="009A34AD">
      <w:pPr>
        <w:numPr>
          <w:ilvl w:val="0"/>
          <w:numId w:val="2"/>
        </w:numPr>
        <w:tabs>
          <w:tab w:val="left" w:pos="0"/>
          <w:tab w:val="left" w:pos="141"/>
          <w:tab w:val="left" w:pos="567"/>
        </w:tabs>
        <w:spacing w:after="240" w:line="360" w:lineRule="auto"/>
        <w:contextualSpacing/>
        <w:jc w:val="both"/>
        <w:rPr>
          <w:rFonts w:ascii="David" w:eastAsia="Times New Roman" w:hAnsi="David" w:cs="David"/>
          <w:noProof/>
          <w:sz w:val="24"/>
          <w:szCs w:val="24"/>
          <w:rtl/>
        </w:rPr>
      </w:pPr>
      <w:r w:rsidRPr="009A34AD">
        <w:rPr>
          <w:rFonts w:ascii="David" w:eastAsia="Times New Roman" w:hAnsi="David" w:cs="David"/>
          <w:noProof/>
          <w:sz w:val="24"/>
          <w:szCs w:val="24"/>
          <w:rtl/>
        </w:rPr>
        <w:t xml:space="preserve">בנוסף, הצדדים ישאו בחלקים לא שווים, האב בשיעור של 75% והאם בשיעור 25% , בהוצאות החינוך של הקטינים ובכלל זה הוצאות למוסד החינוכי (אגרות, תשלומי חובה, סל תרבות וכל הוצאה שתשולם ישירות למוסד החינוכי), צהרון, חוג אחד עבור כל קטין, מחזור אחד קייטנה בקיץ עבור כל קטין, שיעורים פרטיים עפ"י המלצת המורה. ככל שתהיה זכאות למענק לימודים, זה יתקבל בידי האם לטובת מימון ציוד לימודים ללא שישנו חיוב נוסף של האב בעבור הוצאות אלו. </w:t>
      </w:r>
    </w:p>
    <w:p w:rsidR="009A34AD" w:rsidRPr="009A34AD" w:rsidRDefault="009A34AD" w:rsidP="009A34AD">
      <w:pPr>
        <w:numPr>
          <w:ilvl w:val="0"/>
          <w:numId w:val="2"/>
        </w:numPr>
        <w:tabs>
          <w:tab w:val="left" w:pos="0"/>
          <w:tab w:val="left" w:pos="141"/>
          <w:tab w:val="left" w:pos="567"/>
        </w:tabs>
        <w:spacing w:after="240" w:line="360" w:lineRule="auto"/>
        <w:contextualSpacing/>
        <w:jc w:val="both"/>
        <w:rPr>
          <w:rFonts w:ascii="David" w:eastAsia="Times New Roman" w:hAnsi="David" w:cs="David"/>
          <w:noProof/>
          <w:sz w:val="24"/>
          <w:szCs w:val="24"/>
        </w:rPr>
      </w:pPr>
      <w:r w:rsidRPr="009A34AD">
        <w:rPr>
          <w:rFonts w:ascii="David" w:eastAsia="Times New Roman" w:hAnsi="David" w:cs="David"/>
          <w:noProof/>
          <w:sz w:val="24"/>
          <w:szCs w:val="24"/>
          <w:rtl/>
        </w:rPr>
        <w:t xml:space="preserve">הצדדים יישאו בחלקים לא שווים, האב בשיעור של 75% והאם בשיעור של 25% , במלוא דמי ביטוח רפואי באמצעות קופת החולים או ביטוח פרטי אחר (ככל שהיה כזה טרם פרוץ הסכסוך) של הקטינים וכן הוצאות רפואיות שאינן ממומנות באמצעות הביטוח הרפואי ו/או הביטוח הרפואי המשלים בכפוף להצגת קבלות ו/או כל הוצאה רפואית מעבר להשתתפות הקופה כפוף להפניה או מרשם רפואי. באמירה הוצאות רפואיות חריגות, נכללות גם הוצאות לטיפול אורתודנטי, טיפול שיניים וטיפול נפשי ורגשי. במקרה של מחלוקת בין הצדדים בדבר נחיצות ההוצאה, עלותה או ביצועה שלא באמצעות הביטוח הרפואי  תכריע עמדת הרופא המטפל בקטינים דרך קבע. ויובהר כי ככל שיש צורך בטיפול פסיכולוגי לקטינים זה אינו כולל הדרכה הורית להורים עצמם. </w:t>
      </w:r>
    </w:p>
    <w:p w:rsidR="009A34AD" w:rsidRPr="009A34AD" w:rsidRDefault="009A34AD" w:rsidP="009A34AD">
      <w:pPr>
        <w:numPr>
          <w:ilvl w:val="0"/>
          <w:numId w:val="2"/>
        </w:numPr>
        <w:spacing w:after="240" w:line="360" w:lineRule="auto"/>
        <w:contextualSpacing/>
        <w:jc w:val="both"/>
        <w:rPr>
          <w:rFonts w:ascii="David" w:eastAsia="Times New Roman" w:hAnsi="David" w:cs="David"/>
          <w:noProof/>
          <w:sz w:val="24"/>
          <w:szCs w:val="24"/>
        </w:rPr>
      </w:pPr>
      <w:r w:rsidRPr="009A34AD">
        <w:rPr>
          <w:rFonts w:ascii="David" w:eastAsia="Times New Roman" w:hAnsi="David" w:cs="David"/>
          <w:noProof/>
          <w:sz w:val="24"/>
          <w:szCs w:val="24"/>
          <w:rtl/>
        </w:rPr>
        <w:t xml:space="preserve"> </w:t>
      </w:r>
      <w:r w:rsidRPr="009A34AD">
        <w:rPr>
          <w:rFonts w:ascii="David" w:eastAsia="Times New Roman" w:hAnsi="David" w:cs="David"/>
          <w:noProof/>
          <w:szCs w:val="24"/>
          <w:rtl/>
        </w:rPr>
        <w:t>קצבת הביטוח הלאומי תשולם לידי האם ותתווסף לסכום המזונות.</w:t>
      </w:r>
      <w:r w:rsidRPr="009A34AD">
        <w:rPr>
          <w:rFonts w:ascii="David" w:eastAsia="Times New Roman" w:hAnsi="David" w:cs="David"/>
          <w:noProof/>
          <w:sz w:val="24"/>
          <w:szCs w:val="24"/>
          <w:rtl/>
        </w:rPr>
        <w:t xml:space="preserve"> </w:t>
      </w:r>
    </w:p>
    <w:p w:rsidR="009A34AD" w:rsidRPr="009A34AD" w:rsidRDefault="009A34AD" w:rsidP="009A34AD">
      <w:pPr>
        <w:numPr>
          <w:ilvl w:val="0"/>
          <w:numId w:val="2"/>
        </w:numPr>
        <w:spacing w:after="240" w:line="360" w:lineRule="auto"/>
        <w:contextualSpacing/>
        <w:jc w:val="both"/>
        <w:rPr>
          <w:rFonts w:ascii="David" w:eastAsia="Times New Roman" w:hAnsi="David" w:cs="David"/>
          <w:noProof/>
          <w:sz w:val="24"/>
          <w:szCs w:val="24"/>
        </w:rPr>
      </w:pPr>
      <w:r w:rsidRPr="009A34AD">
        <w:rPr>
          <w:rFonts w:ascii="David" w:eastAsia="Times New Roman" w:hAnsi="David" w:cs="David"/>
          <w:noProof/>
          <w:sz w:val="24"/>
          <w:szCs w:val="24"/>
          <w:rtl/>
        </w:rPr>
        <w:t>דמי המזונות יהיו צמודים למדד המחירים לצרכן ויעודכנו אחת ל-3 חודשים, ללא הפרשים רטרואקטיביים בין תקופה אחת לרעותה. מדד הבסיס לחישוב יהיה מדד חודש 04/2023 כפי שיפורסם ביום 15.05.2023.</w:t>
      </w:r>
    </w:p>
    <w:p w:rsidR="009A34AD" w:rsidRPr="009A34AD" w:rsidRDefault="009A34AD" w:rsidP="009A34AD">
      <w:pPr>
        <w:numPr>
          <w:ilvl w:val="0"/>
          <w:numId w:val="2"/>
        </w:numPr>
        <w:spacing w:after="240" w:line="360" w:lineRule="auto"/>
        <w:contextualSpacing/>
        <w:jc w:val="both"/>
        <w:rPr>
          <w:rFonts w:ascii="David" w:eastAsia="Times New Roman" w:hAnsi="David" w:cs="David"/>
          <w:noProof/>
          <w:sz w:val="24"/>
          <w:szCs w:val="24"/>
        </w:rPr>
      </w:pPr>
      <w:r w:rsidRPr="009A34AD">
        <w:rPr>
          <w:rFonts w:ascii="David" w:eastAsia="Times New Roman" w:hAnsi="David" w:cs="David"/>
          <w:noProof/>
          <w:sz w:val="24"/>
          <w:szCs w:val="24"/>
          <w:rtl/>
        </w:rPr>
        <w:t xml:space="preserve">החיוב במזונות כל קטין הוא עד הגיעו לגיל 18 או סיום לימודיו התיכוניים, המאוחר מבין השניים. מיום סיום החיוב במזונות המלאים ועד למועד סיום שירות הצבאי סדיר או שירות לאומי, יעמוד החיוב על שיעור של שליש מגובה החיוב במזונות ללא תשלום עבור הוצאות רפואיות או חינוכיות חריגות. ככל שמי מהקטינים לא ישרת שירות צבאי סדיר או שירות לאומי, יסתיים החיוב במזונות עם הגיעו לגיל 18 או סיום לימודיו התיכוניים, המאוחר מבין השניים. </w:t>
      </w:r>
    </w:p>
    <w:p w:rsidR="009A34AD" w:rsidRPr="009A34AD" w:rsidRDefault="009A34AD" w:rsidP="009A34AD">
      <w:pPr>
        <w:numPr>
          <w:ilvl w:val="0"/>
          <w:numId w:val="2"/>
        </w:numPr>
        <w:spacing w:after="240" w:line="360" w:lineRule="auto"/>
        <w:contextualSpacing/>
        <w:jc w:val="both"/>
        <w:rPr>
          <w:rFonts w:ascii="David" w:eastAsia="Times New Roman" w:hAnsi="David" w:cs="David"/>
          <w:noProof/>
          <w:sz w:val="24"/>
          <w:szCs w:val="24"/>
        </w:rPr>
      </w:pPr>
      <w:r w:rsidRPr="009A34AD">
        <w:rPr>
          <w:rFonts w:ascii="David" w:eastAsia="Times New Roman" w:hAnsi="David" w:cs="David"/>
          <w:sz w:val="24"/>
          <w:szCs w:val="24"/>
          <w:rtl/>
        </w:rPr>
        <w:t xml:space="preserve">החיוב יהיה מיום פסק הדין כאשר עד לאותו מועד תעמוד ההחלטה למזונות הזמניים בתוקף. </w:t>
      </w:r>
    </w:p>
    <w:p w:rsidR="009A34AD" w:rsidRPr="009A34AD" w:rsidRDefault="009A34AD" w:rsidP="009A34AD">
      <w:pPr>
        <w:spacing w:after="240" w:line="360" w:lineRule="auto"/>
        <w:ind w:left="720"/>
        <w:contextualSpacing/>
        <w:jc w:val="both"/>
        <w:rPr>
          <w:rFonts w:ascii="David" w:eastAsia="Times New Roman" w:hAnsi="David" w:cs="David"/>
          <w:noProof/>
          <w:sz w:val="24"/>
          <w:szCs w:val="24"/>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noProof/>
          <w:sz w:val="24"/>
          <w:szCs w:val="24"/>
        </w:rPr>
      </w:pPr>
      <w:r w:rsidRPr="009A34AD">
        <w:rPr>
          <w:rFonts w:ascii="David" w:eastAsia="Times New Roman" w:hAnsi="David" w:cs="David"/>
          <w:noProof/>
          <w:sz w:val="24"/>
          <w:szCs w:val="24"/>
          <w:rtl/>
        </w:rPr>
        <w:lastRenderedPageBreak/>
        <w:t xml:space="preserve">לשאלת ההוצאות - נוכח קבלת התביעה בחלקה, בשים לב לפער שבין הסך הנתבע ובין זה שנפסק, אולם בשים לב לעיקר המחלוקת שנסבה סביב שאלת ההכנסות של האב, שנקבע כי תואם הוא למתואר בתביעת התובעת, אני מורה על חיובו בהוצאות התובעת בסך של 15,000 ₪. </w:t>
      </w:r>
    </w:p>
    <w:p w:rsidR="009A34AD" w:rsidRPr="009A34AD" w:rsidRDefault="009A34AD" w:rsidP="009A34AD">
      <w:pPr>
        <w:spacing w:after="240" w:line="360" w:lineRule="auto"/>
        <w:ind w:left="425"/>
        <w:contextualSpacing/>
        <w:jc w:val="both"/>
        <w:rPr>
          <w:rFonts w:ascii="David" w:eastAsia="Times New Roman" w:hAnsi="David" w:cs="David"/>
          <w:noProof/>
          <w:sz w:val="24"/>
          <w:szCs w:val="24"/>
        </w:rPr>
      </w:pPr>
    </w:p>
    <w:p w:rsidR="009A34AD" w:rsidRPr="009A34AD" w:rsidRDefault="009A34AD" w:rsidP="009A34AD">
      <w:pPr>
        <w:numPr>
          <w:ilvl w:val="0"/>
          <w:numId w:val="1"/>
        </w:numPr>
        <w:spacing w:after="240" w:line="360" w:lineRule="auto"/>
        <w:ind w:left="425"/>
        <w:contextualSpacing/>
        <w:jc w:val="both"/>
        <w:rPr>
          <w:rFonts w:ascii="David" w:eastAsia="Times New Roman" w:hAnsi="David" w:cs="David"/>
          <w:noProof/>
          <w:sz w:val="24"/>
          <w:szCs w:val="24"/>
          <w:rtl/>
        </w:rPr>
      </w:pPr>
      <w:r w:rsidRPr="009A34AD">
        <w:rPr>
          <w:rFonts w:ascii="David" w:eastAsia="Times New Roman" w:hAnsi="David" w:cs="David"/>
          <w:noProof/>
          <w:sz w:val="24"/>
          <w:szCs w:val="24"/>
          <w:rtl/>
        </w:rPr>
        <w:t xml:space="preserve">מתירה פרסום פסק הדין תוך השמטת כל פרט מזהה של הצדדים או העדים. </w:t>
      </w:r>
    </w:p>
    <w:p w:rsidR="009A34AD" w:rsidRPr="009A34AD" w:rsidRDefault="009A34AD" w:rsidP="009A34AD">
      <w:pPr>
        <w:spacing w:after="0" w:line="360" w:lineRule="auto"/>
        <w:jc w:val="both"/>
        <w:rPr>
          <w:rFonts w:ascii="Arial" w:eastAsia="Times New Roman" w:hAnsi="Arial" w:cs="David"/>
          <w:sz w:val="24"/>
          <w:szCs w:val="24"/>
          <w:rtl/>
        </w:rPr>
      </w:pPr>
    </w:p>
    <w:p w:rsidR="009A34AD" w:rsidRPr="009A34AD" w:rsidRDefault="009A34AD" w:rsidP="009A34AD">
      <w:pPr>
        <w:spacing w:after="0" w:line="360" w:lineRule="auto"/>
        <w:jc w:val="both"/>
        <w:rPr>
          <w:rFonts w:ascii="Arial" w:eastAsia="Times New Roman" w:hAnsi="Arial" w:cs="David"/>
          <w:sz w:val="24"/>
          <w:szCs w:val="24"/>
          <w:rtl/>
        </w:rPr>
      </w:pPr>
      <w:r w:rsidRPr="009A34AD">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784405537"/>
          <w:text w:multiLine="1"/>
        </w:sdtPr>
        <w:sdtEndPr/>
        <w:sdtContent>
          <w:r w:rsidRPr="009A34AD">
            <w:rPr>
              <w:rFonts w:ascii="Times New Roman" w:eastAsia="Times New Roman" w:hAnsi="Times New Roman" w:cs="David"/>
              <w:noProof/>
              <w:sz w:val="24"/>
              <w:szCs w:val="24"/>
              <w:rtl/>
            </w:rPr>
            <w:t>ז' אייר תשפ"ג</w:t>
          </w:r>
        </w:sdtContent>
      </w:sdt>
      <w:r w:rsidRPr="009A34AD">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33865600"/>
          <w:text w:multiLine="1"/>
        </w:sdtPr>
        <w:sdtEndPr/>
        <w:sdtContent>
          <w:r w:rsidRPr="009A34AD">
            <w:rPr>
              <w:rFonts w:ascii="Times New Roman" w:eastAsia="Times New Roman" w:hAnsi="Times New Roman" w:cs="David"/>
              <w:noProof/>
              <w:sz w:val="24"/>
              <w:szCs w:val="24"/>
              <w:rtl/>
            </w:rPr>
            <w:t>28 אפריל 2023</w:t>
          </w:r>
        </w:sdtContent>
      </w:sdt>
      <w:r w:rsidRPr="009A34AD">
        <w:rPr>
          <w:rFonts w:ascii="Arial" w:eastAsia="Times New Roman" w:hAnsi="Arial" w:cs="David"/>
          <w:sz w:val="24"/>
          <w:szCs w:val="24"/>
          <w:rtl/>
        </w:rPr>
        <w:t>, בהעדר הצדדים.</w:t>
      </w:r>
    </w:p>
    <w:p w:rsidR="009A34AD" w:rsidRPr="009A34AD" w:rsidRDefault="009A34AD" w:rsidP="009A34AD">
      <w:pPr>
        <w:spacing w:after="0" w:line="360" w:lineRule="auto"/>
        <w:jc w:val="both"/>
        <w:rPr>
          <w:rFonts w:ascii="Arial" w:eastAsia="Times New Roman" w:hAnsi="Arial" w:cs="David"/>
          <w:sz w:val="24"/>
          <w:szCs w:val="24"/>
          <w:rtl/>
        </w:rPr>
      </w:pPr>
    </w:p>
    <w:p w:rsidR="009A34AD" w:rsidRPr="009A34AD" w:rsidRDefault="000672E8" w:rsidP="009A34AD">
      <w:pPr>
        <w:spacing w:after="0" w:line="360" w:lineRule="auto"/>
        <w:ind w:left="3600" w:firstLine="720"/>
        <w:jc w:val="both"/>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813366796"/>
        </w:sdtPr>
        <w:sdtEndPr/>
        <w:sdtContent>
          <w:r w:rsidR="009A34AD" w:rsidRPr="009A34AD">
            <w:rPr>
              <w:rFonts w:ascii="Times New Roman" w:eastAsia="Times New Roman" w:hAnsi="Times New Roman" w:cs="David"/>
              <w:noProof/>
              <w:sz w:val="24"/>
              <w:szCs w:val="24"/>
            </w:rPr>
            <w:drawing>
              <wp:inline distT="0" distB="0" distL="0" distR="0" wp14:anchorId="166FE3BC" wp14:editId="5D8069CE">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200150" cy="920750"/>
                        </a:xfrm>
                        <a:prstGeom prst="rect">
                          <a:avLst/>
                        </a:prstGeom>
                      </pic:spPr>
                    </pic:pic>
                  </a:graphicData>
                </a:graphic>
              </wp:inline>
            </w:drawing>
          </w:r>
        </w:sdtContent>
      </w:sdt>
    </w:p>
    <w:p w:rsidR="009A34AD" w:rsidRPr="009A34AD" w:rsidRDefault="009A34AD" w:rsidP="009A34AD">
      <w:pPr>
        <w:spacing w:after="0" w:line="360" w:lineRule="auto"/>
        <w:ind w:left="3600" w:firstLine="720"/>
        <w:jc w:val="both"/>
        <w:rPr>
          <w:rFonts w:ascii="Arial" w:eastAsia="Times New Roman" w:hAnsi="Arial" w:cs="David"/>
          <w:sz w:val="24"/>
          <w:szCs w:val="24"/>
          <w:rtl/>
        </w:rPr>
      </w:pPr>
    </w:p>
    <w:p w:rsidR="00590170" w:rsidRDefault="00590170"/>
    <w:sectPr w:rsidR="00590170" w:rsidSect="002914D6">
      <w:headerReference w:type="default" r:id="rId12"/>
      <w:footerReference w:type="default" r:id="rId1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2E8" w:rsidRDefault="000672E8" w:rsidP="009A34AD">
      <w:pPr>
        <w:spacing w:after="0" w:line="240" w:lineRule="auto"/>
      </w:pPr>
      <w:r>
        <w:separator/>
      </w:r>
    </w:p>
  </w:endnote>
  <w:endnote w:type="continuationSeparator" w:id="0">
    <w:p w:rsidR="000672E8" w:rsidRDefault="000672E8" w:rsidP="009A3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A34AD">
    <w:pPr>
      <w:pStyle w:val="a5"/>
      <w:jc w:val="center"/>
      <w:rPr>
        <w:rStyle w:val="a8"/>
      </w:rPr>
    </w:pPr>
    <w:r>
      <w:rPr>
        <w:rStyle w:val="a8"/>
      </w:rPr>
      <w:fldChar w:fldCharType="begin"/>
    </w:r>
    <w:r>
      <w:rPr>
        <w:rStyle w:val="a8"/>
      </w:rPr>
      <w:instrText xml:space="preserve"> PAGE </w:instrText>
    </w:r>
    <w:r>
      <w:rPr>
        <w:rStyle w:val="a8"/>
      </w:rPr>
      <w:fldChar w:fldCharType="separate"/>
    </w:r>
    <w:r w:rsidR="00E744DF">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E744DF">
      <w:rPr>
        <w:rStyle w:val="a8"/>
        <w:rtl/>
      </w:rPr>
      <w:t>14</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2E8" w:rsidRDefault="000672E8" w:rsidP="009A34AD">
      <w:pPr>
        <w:spacing w:after="0" w:line="240" w:lineRule="auto"/>
      </w:pPr>
      <w:r>
        <w:separator/>
      </w:r>
    </w:p>
  </w:footnote>
  <w:footnote w:type="continuationSeparator" w:id="0">
    <w:p w:rsidR="000672E8" w:rsidRDefault="000672E8" w:rsidP="009A3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A34AD">
    <w:pPr>
      <w:pStyle w:val="a3"/>
      <w:jc w:val="center"/>
      <w:rPr>
        <w:rFonts w:cs="FrankRuehl"/>
        <w:noProof w:val="0"/>
        <w:sz w:val="28"/>
        <w:szCs w:val="28"/>
        <w:rtl/>
      </w:rPr>
    </w:pPr>
    <w:r>
      <w:rPr>
        <w:rFonts w:cs="FrankRuehl"/>
        <w:sz w:val="28"/>
        <w:szCs w:val="28"/>
      </w:rPr>
      <w:drawing>
        <wp:inline distT="0" distB="0" distL="0" distR="0" wp14:anchorId="4FD38A0E" wp14:editId="016408D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9A34A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0672E8">
          <w:pPr>
            <w:rPr>
              <w:b/>
              <w:bCs/>
              <w:sz w:val="26"/>
              <w:szCs w:val="26"/>
              <w:rtl/>
            </w:rPr>
          </w:pPr>
        </w:p>
      </w:tc>
      <w:tc>
        <w:tcPr>
          <w:tcW w:w="3674" w:type="dxa"/>
        </w:tcPr>
        <w:p w:rsidR="002914D6" w:rsidRDefault="000672E8">
          <w:pPr>
            <w:pStyle w:val="a3"/>
            <w:jc w:val="right"/>
            <w:rPr>
              <w:b/>
              <w:bCs/>
              <w:noProof w:val="0"/>
              <w:sz w:val="26"/>
              <w:szCs w:val="26"/>
              <w:rtl/>
            </w:rPr>
          </w:pPr>
        </w:p>
      </w:tc>
    </w:tr>
    <w:tr w:rsidR="002914D6">
      <w:trPr>
        <w:trHeight w:val="337"/>
        <w:jc w:val="center"/>
      </w:trPr>
      <w:tc>
        <w:tcPr>
          <w:tcW w:w="8721" w:type="dxa"/>
          <w:gridSpan w:val="2"/>
        </w:tcPr>
        <w:p w:rsidR="002914D6" w:rsidRDefault="000672E8" w:rsidP="009A34AD">
          <w:pPr>
            <w:rPr>
              <w:b/>
              <w:bCs/>
              <w:sz w:val="26"/>
              <w:szCs w:val="26"/>
              <w:rtl/>
            </w:rPr>
          </w:pPr>
          <w:sdt>
            <w:sdtPr>
              <w:rPr>
                <w:rtl/>
              </w:rPr>
              <w:alias w:val="1170"/>
              <w:tag w:val="1170"/>
              <w:id w:val="-984775694"/>
              <w:text w:multiLine="1"/>
            </w:sdtPr>
            <w:sdtEndPr/>
            <w:sdtContent>
              <w:r w:rsidR="009A34AD">
                <w:rPr>
                  <w:b/>
                  <w:bCs/>
                  <w:sz w:val="26"/>
                  <w:szCs w:val="26"/>
                  <w:rtl/>
                </w:rPr>
                <w:t>תלה"מ</w:t>
              </w:r>
            </w:sdtContent>
          </w:sdt>
          <w:r w:rsidR="009A34AD">
            <w:rPr>
              <w:b/>
              <w:bCs/>
              <w:sz w:val="26"/>
              <w:szCs w:val="26"/>
              <w:rtl/>
            </w:rPr>
            <w:t xml:space="preserve"> </w:t>
          </w:r>
          <w:sdt>
            <w:sdtPr>
              <w:rPr>
                <w:rtl/>
              </w:rPr>
              <w:alias w:val="1171"/>
              <w:tag w:val="1171"/>
              <w:id w:val="1025217868"/>
              <w:text w:multiLine="1"/>
            </w:sdtPr>
            <w:sdtEndPr/>
            <w:sdtContent>
              <w:r w:rsidR="009A34AD">
                <w:rPr>
                  <w:b/>
                  <w:bCs/>
                  <w:sz w:val="26"/>
                  <w:szCs w:val="26"/>
                  <w:rtl/>
                </w:rPr>
                <w:t>28585-02-22</w:t>
              </w:r>
            </w:sdtContent>
          </w:sdt>
          <w:r w:rsidR="009A34AD">
            <w:rPr>
              <w:b/>
              <w:bCs/>
              <w:sz w:val="26"/>
              <w:szCs w:val="26"/>
              <w:rtl/>
            </w:rPr>
            <w:t xml:space="preserve"> </w:t>
          </w:r>
          <w:sdt>
            <w:sdtPr>
              <w:rPr>
                <w:rtl/>
              </w:rPr>
              <w:alias w:val="1172"/>
              <w:tag w:val="1172"/>
              <w:id w:val="-673653942"/>
              <w:text w:multiLine="1"/>
            </w:sdtPr>
            <w:sdtEndPr/>
            <w:sdtContent>
              <w:r w:rsidR="009A34AD">
                <w:rPr>
                  <w:rFonts w:hint="cs"/>
                  <w:b/>
                  <w:bCs/>
                  <w:sz w:val="26"/>
                  <w:szCs w:val="26"/>
                  <w:rtl/>
                </w:rPr>
                <w:t>י. נ' י.</w:t>
              </w:r>
            </w:sdtContent>
          </w:sdt>
        </w:p>
        <w:p w:rsidR="002914D6" w:rsidRDefault="000672E8">
          <w:pPr>
            <w:rPr>
              <w:rtl/>
            </w:rPr>
          </w:pPr>
        </w:p>
      </w:tc>
    </w:tr>
  </w:tbl>
  <w:p w:rsidR="002914D6" w:rsidRDefault="009A34AD">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650F2"/>
    <w:multiLevelType w:val="hybridMultilevel"/>
    <w:tmpl w:val="14AA4276"/>
    <w:lvl w:ilvl="0" w:tplc="2CAC323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E01B35"/>
    <w:multiLevelType w:val="hybridMultilevel"/>
    <w:tmpl w:val="85DA96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AD"/>
    <w:rsid w:val="000672E8"/>
    <w:rsid w:val="003A76CD"/>
    <w:rsid w:val="00590170"/>
    <w:rsid w:val="0078469F"/>
    <w:rsid w:val="0090378F"/>
    <w:rsid w:val="009A34AD"/>
    <w:rsid w:val="00B05810"/>
    <w:rsid w:val="00E744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A00ECE-C3BB-412B-8B08-814D43A63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A34AD"/>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9A34AD"/>
    <w:rPr>
      <w:rFonts w:ascii="Times New Roman" w:eastAsia="Times New Roman" w:hAnsi="Times New Roman" w:cs="David"/>
      <w:noProof/>
      <w:sz w:val="24"/>
      <w:szCs w:val="24"/>
    </w:rPr>
  </w:style>
  <w:style w:type="paragraph" w:styleId="a5">
    <w:name w:val="footer"/>
    <w:basedOn w:val="a"/>
    <w:link w:val="a6"/>
    <w:rsid w:val="009A34AD"/>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9A34AD"/>
    <w:rPr>
      <w:rFonts w:ascii="Times New Roman" w:eastAsia="Times New Roman" w:hAnsi="Times New Roman" w:cs="David"/>
      <w:noProof/>
      <w:sz w:val="24"/>
      <w:szCs w:val="24"/>
    </w:rPr>
  </w:style>
  <w:style w:type="table" w:styleId="a7">
    <w:name w:val="Table Grid"/>
    <w:basedOn w:val="a1"/>
    <w:rsid w:val="009A34A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9A34AD"/>
  </w:style>
  <w:style w:type="character" w:styleId="a9">
    <w:name w:val="line number"/>
    <w:basedOn w:val="a0"/>
    <w:uiPriority w:val="99"/>
    <w:semiHidden/>
    <w:unhideWhenUsed/>
    <w:rsid w:val="009A3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26224818"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vo.co.il/case/20033485"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g"/><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www.nevo.co.il/case/27100822" TargetMode="External"/><Relationship Id="rId4" Type="http://schemas.openxmlformats.org/officeDocument/2006/relationships/webSettings" Target="webSettings.xml"/><Relationship Id="rId9" Type="http://schemas.openxmlformats.org/officeDocument/2006/relationships/hyperlink" Target="http://www.nevo.co.il/case/27023214"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6B0DC67191F4990A8A7EE0AA858A4F6"/>
        <w:category>
          <w:name w:val="כללי"/>
          <w:gallery w:val="placeholder"/>
        </w:category>
        <w:types>
          <w:type w:val="bbPlcHdr"/>
        </w:types>
        <w:behaviors>
          <w:behavior w:val="content"/>
        </w:behaviors>
        <w:guid w:val="{07F47D60-0E1D-4BE1-942F-3D556D0B132D}"/>
      </w:docPartPr>
      <w:docPartBody>
        <w:p w:rsidR="00434AE9" w:rsidRDefault="00ED32DD" w:rsidP="00ED32DD">
          <w:pPr>
            <w:pStyle w:val="76B0DC67191F4990A8A7EE0AA858A4F6"/>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2DD"/>
    <w:rsid w:val="003D2C28"/>
    <w:rsid w:val="00434AE9"/>
    <w:rsid w:val="00ED32DD"/>
    <w:rsid w:val="00F13A7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D32DD"/>
    <w:rPr>
      <w:color w:val="808080"/>
    </w:rPr>
  </w:style>
  <w:style w:type="paragraph" w:customStyle="1" w:styleId="76B0DC67191F4990A8A7EE0AA858A4F6">
    <w:name w:val="76B0DC67191F4990A8A7EE0AA858A4F6"/>
    <w:rsid w:val="00ED32D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4121</Words>
  <Characters>20605</Characters>
  <Application>Microsoft Office Word</Application>
  <DocSecurity>0</DocSecurity>
  <Lines>171</Lines>
  <Paragraphs>49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אסתר טטרואשילי</cp:lastModifiedBy>
  <cp:revision>2</cp:revision>
  <dcterms:created xsi:type="dcterms:W3CDTF">2023-06-04T11:18:00Z</dcterms:created>
  <dcterms:modified xsi:type="dcterms:W3CDTF">2023-06-04T11:18:00Z</dcterms:modified>
</cp:coreProperties>
</file>